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045" w:rsidRPr="00FC467D" w:rsidRDefault="001C3045" w:rsidP="001C3045">
      <w:pPr>
        <w:spacing w:after="160"/>
        <w:ind w:left="360" w:hanging="360"/>
        <w:jc w:val="center"/>
        <w:rPr>
          <w:rFonts w:ascii="Times New Roman" w:hAnsi="Times New Roman" w:cs="Times New Roman"/>
          <w:b/>
          <w:sz w:val="32"/>
          <w:szCs w:val="36"/>
          <w:lang w:bidi="ar-SA"/>
        </w:rPr>
      </w:pPr>
      <w:r w:rsidRPr="00FC467D">
        <w:rPr>
          <w:rFonts w:ascii="Times New Roman" w:hAnsi="Times New Roman" w:cs="Times New Roman"/>
          <w:b/>
          <w:sz w:val="32"/>
          <w:szCs w:val="36"/>
          <w:lang w:bidi="ar-SA"/>
        </w:rPr>
        <w:t>Terms of Reference</w:t>
      </w:r>
    </w:p>
    <w:p w:rsidR="001C3045" w:rsidRPr="00FC467D" w:rsidRDefault="001C3045" w:rsidP="001C3045">
      <w:pPr>
        <w:spacing w:after="160"/>
        <w:ind w:left="360" w:hanging="360"/>
        <w:jc w:val="center"/>
        <w:rPr>
          <w:rFonts w:ascii="Times New Roman" w:hAnsi="Times New Roman" w:cs="Times New Roman"/>
          <w:b/>
          <w:sz w:val="32"/>
          <w:szCs w:val="36"/>
          <w:lang w:bidi="ar-SA"/>
        </w:rPr>
      </w:pPr>
      <w:r w:rsidRPr="00FC467D">
        <w:rPr>
          <w:rFonts w:ascii="Times New Roman" w:hAnsi="Times New Roman" w:cs="Times New Roman"/>
          <w:b/>
          <w:sz w:val="32"/>
          <w:szCs w:val="36"/>
          <w:lang w:bidi="ar-SA"/>
        </w:rPr>
        <w:t>For Consulting Services of Financial Management Specialist</w:t>
      </w:r>
    </w:p>
    <w:p w:rsidR="001C3045" w:rsidRPr="00FC467D" w:rsidRDefault="001C3045" w:rsidP="001C3045">
      <w:pPr>
        <w:spacing w:after="160"/>
        <w:ind w:left="360" w:hanging="360"/>
        <w:jc w:val="center"/>
        <w:rPr>
          <w:rFonts w:ascii="Times New Roman" w:hAnsi="Times New Roman" w:cs="Times New Roman"/>
          <w:b/>
          <w:sz w:val="36"/>
          <w:szCs w:val="36"/>
          <w:lang w:bidi="ar-SA"/>
        </w:rPr>
      </w:pPr>
      <w:bookmarkStart w:id="0" w:name="_GoBack"/>
      <w:bookmarkEnd w:id="0"/>
    </w:p>
    <w:p w:rsidR="001C3045" w:rsidRPr="00FC467D" w:rsidRDefault="001C3045" w:rsidP="001C3045">
      <w:pPr>
        <w:pStyle w:val="Heading1"/>
        <w:rPr>
          <w:sz w:val="24"/>
          <w:szCs w:val="22"/>
        </w:rPr>
      </w:pPr>
      <w:bookmarkStart w:id="1" w:name="_Toc512104862"/>
      <w:bookmarkStart w:id="2" w:name="_Toc51510612"/>
      <w:r w:rsidRPr="00FC467D">
        <w:rPr>
          <w:sz w:val="24"/>
          <w:szCs w:val="22"/>
        </w:rPr>
        <w:t>BACKGROUND</w:t>
      </w:r>
      <w:bookmarkEnd w:id="1"/>
      <w:bookmarkEnd w:id="2"/>
    </w:p>
    <w:p w:rsidR="001C3045" w:rsidRPr="00FC467D" w:rsidRDefault="001C3045" w:rsidP="001C3045">
      <w:pPr>
        <w:pStyle w:val="NormalIndent1"/>
        <w:tabs>
          <w:tab w:val="left" w:pos="360"/>
          <w:tab w:val="right" w:leader="dot" w:pos="8820"/>
        </w:tabs>
        <w:spacing w:after="0" w:line="360" w:lineRule="auto"/>
        <w:ind w:left="720" w:right="206"/>
        <w:jc w:val="both"/>
        <w:rPr>
          <w:rFonts w:ascii="Times New Roman" w:eastAsia="Calibri" w:hAnsi="Times New Roman"/>
          <w:kern w:val="3"/>
          <w:sz w:val="24"/>
          <w:szCs w:val="24"/>
          <w:lang w:val="en-GB" w:bidi="ne-NP"/>
        </w:rPr>
      </w:pPr>
      <w:r w:rsidRPr="00FC467D">
        <w:rPr>
          <w:rFonts w:ascii="Times New Roman" w:eastAsia="Calibri" w:hAnsi="Times New Roman"/>
          <w:kern w:val="3"/>
          <w:sz w:val="24"/>
          <w:szCs w:val="24"/>
          <w:lang w:val="en-GB" w:bidi="ne-NP"/>
        </w:rPr>
        <w:t>Government of Nepal (</w:t>
      </w:r>
      <w:proofErr w:type="spellStart"/>
      <w:r w:rsidRPr="00FC467D">
        <w:rPr>
          <w:rFonts w:ascii="Times New Roman" w:eastAsia="Calibri" w:hAnsi="Times New Roman"/>
          <w:kern w:val="3"/>
          <w:sz w:val="24"/>
          <w:szCs w:val="24"/>
          <w:lang w:val="en-GB" w:bidi="ne-NP"/>
        </w:rPr>
        <w:t>GoN</w:t>
      </w:r>
      <w:proofErr w:type="spellEnd"/>
      <w:r w:rsidRPr="00FC467D">
        <w:rPr>
          <w:rFonts w:ascii="Times New Roman" w:eastAsia="Calibri" w:hAnsi="Times New Roman"/>
          <w:kern w:val="3"/>
          <w:sz w:val="24"/>
          <w:szCs w:val="24"/>
          <w:lang w:val="en-GB" w:bidi="ne-NP"/>
        </w:rPr>
        <w:t>) under the subsidised loan of International Development Association ("World Bank") is implementing Youth Employment Transformation Initiative Project (herein after referred as Project).  Ministry of Labour, Employment and Social Security (</w:t>
      </w:r>
      <w:proofErr w:type="spellStart"/>
      <w:r w:rsidRPr="00FC467D">
        <w:rPr>
          <w:rFonts w:ascii="Times New Roman" w:eastAsia="Calibri" w:hAnsi="Times New Roman"/>
          <w:kern w:val="3"/>
          <w:sz w:val="24"/>
          <w:szCs w:val="24"/>
          <w:lang w:val="en-GB" w:bidi="ne-NP"/>
        </w:rPr>
        <w:t>MoLESS</w:t>
      </w:r>
      <w:proofErr w:type="spellEnd"/>
      <w:r w:rsidRPr="00FC467D">
        <w:rPr>
          <w:rFonts w:ascii="Times New Roman" w:eastAsia="Calibri" w:hAnsi="Times New Roman"/>
          <w:kern w:val="3"/>
          <w:sz w:val="24"/>
          <w:szCs w:val="24"/>
          <w:lang w:val="en-GB" w:bidi="ne-NP"/>
        </w:rPr>
        <w:t xml:space="preserve">) has established Project Management Unit (PMU) at Prime Minister Employment Programme (PMEP) to coordinate and implement the project activities. PMEP is the </w:t>
      </w:r>
      <w:proofErr w:type="spellStart"/>
      <w:r w:rsidRPr="00FC467D">
        <w:rPr>
          <w:rFonts w:ascii="Times New Roman" w:eastAsia="Calibri" w:hAnsi="Times New Roman"/>
          <w:kern w:val="3"/>
          <w:sz w:val="24"/>
          <w:szCs w:val="24"/>
          <w:lang w:val="en-GB" w:bidi="ne-NP"/>
        </w:rPr>
        <w:t>GoN’s</w:t>
      </w:r>
      <w:proofErr w:type="spellEnd"/>
      <w:r w:rsidRPr="00FC467D">
        <w:rPr>
          <w:rFonts w:ascii="Times New Roman" w:eastAsia="Calibri" w:hAnsi="Times New Roman"/>
          <w:kern w:val="3"/>
          <w:sz w:val="24"/>
          <w:szCs w:val="24"/>
          <w:lang w:val="en-GB" w:bidi="ne-NP"/>
        </w:rPr>
        <w:t xml:space="preserve"> national flagship programme guaranteeing the minimum 100 days of employment to the registered unemployed. The project supports PMEP to improve the outcome of employment support services and labour market. </w:t>
      </w:r>
    </w:p>
    <w:p w:rsidR="001C3045" w:rsidRPr="00FC467D" w:rsidRDefault="001C3045" w:rsidP="001C3045">
      <w:pPr>
        <w:pStyle w:val="NormalIndent1"/>
        <w:tabs>
          <w:tab w:val="left" w:pos="360"/>
          <w:tab w:val="right" w:leader="dot" w:pos="8820"/>
        </w:tabs>
        <w:spacing w:after="0" w:line="360" w:lineRule="auto"/>
        <w:ind w:left="720" w:right="206"/>
        <w:jc w:val="both"/>
        <w:rPr>
          <w:rFonts w:ascii="Times New Roman" w:eastAsia="Calibri" w:hAnsi="Times New Roman"/>
          <w:kern w:val="3"/>
          <w:sz w:val="24"/>
          <w:szCs w:val="24"/>
          <w:lang w:val="en-GB" w:bidi="ne-NP"/>
        </w:rPr>
      </w:pPr>
    </w:p>
    <w:p w:rsidR="001C3045" w:rsidRPr="00FC467D" w:rsidRDefault="001C3045" w:rsidP="001C3045">
      <w:pPr>
        <w:pStyle w:val="NormalIndent1"/>
        <w:tabs>
          <w:tab w:val="left" w:pos="360"/>
          <w:tab w:val="right" w:leader="dot" w:pos="8820"/>
        </w:tabs>
        <w:spacing w:after="0" w:line="360" w:lineRule="auto"/>
        <w:ind w:left="720" w:right="206"/>
        <w:jc w:val="both"/>
        <w:rPr>
          <w:rFonts w:ascii="Times New Roman" w:hAnsi="Times New Roman"/>
          <w:sz w:val="24"/>
          <w:szCs w:val="24"/>
        </w:rPr>
      </w:pPr>
      <w:r w:rsidRPr="00FC467D">
        <w:rPr>
          <w:rFonts w:ascii="Times New Roman" w:eastAsia="Calibri" w:hAnsi="Times New Roman"/>
          <w:kern w:val="3"/>
          <w:sz w:val="24"/>
          <w:szCs w:val="24"/>
          <w:lang w:val="en-GB" w:bidi="ne-NP"/>
        </w:rPr>
        <w:t xml:space="preserve">The consultant delivers sound financial management practice, prepare and consolidate financial information and analyse the details of conditional grants as per the Project Appraisal Document (PAD).  The PMU is hiring a Financial Management Consultant (FMC) to support the project financial reporting and to engage in  coordination, supporting all cost centres and to undertake the overall management of  financial activities of the project and PMEP.  </w:t>
      </w:r>
    </w:p>
    <w:p w:rsidR="001C3045" w:rsidRPr="00FC467D" w:rsidRDefault="001C3045" w:rsidP="001C3045">
      <w:pPr>
        <w:pStyle w:val="NormalIndent1"/>
        <w:tabs>
          <w:tab w:val="left" w:pos="360"/>
          <w:tab w:val="right" w:leader="dot" w:pos="8820"/>
        </w:tabs>
        <w:spacing w:after="0" w:line="360" w:lineRule="auto"/>
        <w:ind w:left="720" w:right="206"/>
        <w:jc w:val="both"/>
        <w:rPr>
          <w:rFonts w:ascii="Times New Roman" w:hAnsi="Times New Roman"/>
          <w:sz w:val="24"/>
          <w:szCs w:val="24"/>
        </w:rPr>
      </w:pPr>
    </w:p>
    <w:p w:rsidR="001C3045" w:rsidRPr="00FC467D" w:rsidRDefault="001C3045" w:rsidP="001C3045">
      <w:pPr>
        <w:pStyle w:val="Heading1"/>
        <w:spacing w:after="240" w:line="240" w:lineRule="auto"/>
        <w:rPr>
          <w:sz w:val="24"/>
        </w:rPr>
      </w:pPr>
      <w:bookmarkStart w:id="3" w:name="_Toc512104864"/>
      <w:bookmarkStart w:id="4" w:name="_Toc51510613"/>
      <w:r w:rsidRPr="00FC467D">
        <w:rPr>
          <w:sz w:val="24"/>
        </w:rPr>
        <w:t>OBJECTIVE OF THE CONSULTANCY SERVICES</w:t>
      </w:r>
      <w:bookmarkEnd w:id="3"/>
      <w:bookmarkEnd w:id="4"/>
    </w:p>
    <w:p w:rsidR="001C3045" w:rsidRPr="00FC467D" w:rsidRDefault="001C3045" w:rsidP="001C3045">
      <w:pPr>
        <w:pStyle w:val="NormalIndent1"/>
        <w:tabs>
          <w:tab w:val="left" w:pos="720"/>
          <w:tab w:val="right" w:leader="dot" w:pos="9180"/>
        </w:tabs>
        <w:spacing w:after="0" w:line="360" w:lineRule="auto"/>
        <w:ind w:left="720" w:right="-18"/>
        <w:jc w:val="both"/>
        <w:rPr>
          <w:rFonts w:ascii="Times New Roman" w:eastAsia="Calibri" w:hAnsi="Times New Roman"/>
          <w:kern w:val="3"/>
          <w:sz w:val="24"/>
          <w:szCs w:val="24"/>
          <w:lang w:val="en-GB" w:bidi="ne-NP"/>
        </w:rPr>
      </w:pPr>
      <w:r w:rsidRPr="00FC467D">
        <w:rPr>
          <w:rFonts w:ascii="Times New Roman" w:eastAsia="Calibri" w:hAnsi="Times New Roman"/>
          <w:kern w:val="3"/>
          <w:sz w:val="24"/>
          <w:szCs w:val="24"/>
          <w:lang w:val="en-GB" w:bidi="ne-NP"/>
        </w:rPr>
        <w:t>Under the direct supervision of National Project Director, the overall objective of the consultant is to support</w:t>
      </w:r>
      <w:r w:rsidRPr="00FC467D">
        <w:rPr>
          <w:rFonts w:ascii="Times New Roman" w:eastAsia="Calibri" w:hAnsi="Times New Roman"/>
          <w:kern w:val="3"/>
          <w:sz w:val="24"/>
          <w:szCs w:val="24"/>
          <w:lang w:bidi="ne-NP"/>
        </w:rPr>
        <w:t>,</w:t>
      </w:r>
      <w:r w:rsidRPr="00FC467D">
        <w:rPr>
          <w:rFonts w:ascii="Times New Roman" w:eastAsia="Calibri" w:hAnsi="Times New Roman"/>
          <w:kern w:val="3"/>
          <w:sz w:val="24"/>
          <w:szCs w:val="24"/>
          <w:lang w:val="en-GB" w:bidi="ne-NP"/>
        </w:rPr>
        <w:t xml:space="preserve"> coordinate and manage financial functions and manage fiduciary risks.  </w:t>
      </w:r>
    </w:p>
    <w:p w:rsidR="001C3045" w:rsidRPr="00FC467D" w:rsidRDefault="001C3045" w:rsidP="001C3045">
      <w:pPr>
        <w:pStyle w:val="NormalIndent1"/>
        <w:tabs>
          <w:tab w:val="left" w:pos="720"/>
          <w:tab w:val="right" w:leader="dot" w:pos="9180"/>
        </w:tabs>
        <w:spacing w:after="0" w:line="360" w:lineRule="auto"/>
        <w:ind w:left="720" w:right="-18"/>
        <w:jc w:val="both"/>
        <w:rPr>
          <w:rFonts w:ascii="Times New Roman" w:eastAsia="Calibri" w:hAnsi="Times New Roman"/>
          <w:kern w:val="3"/>
          <w:sz w:val="24"/>
          <w:szCs w:val="24"/>
          <w:lang w:val="en-GB" w:bidi="ne-NP"/>
        </w:rPr>
      </w:pPr>
    </w:p>
    <w:p w:rsidR="001C3045" w:rsidRPr="00FC467D" w:rsidRDefault="001C3045" w:rsidP="001C3045">
      <w:pPr>
        <w:pStyle w:val="NormalIndent1"/>
        <w:tabs>
          <w:tab w:val="left" w:pos="720"/>
          <w:tab w:val="right" w:leader="dot" w:pos="9180"/>
        </w:tabs>
        <w:spacing w:after="0" w:line="360" w:lineRule="auto"/>
        <w:ind w:left="720" w:right="-18"/>
        <w:jc w:val="both"/>
        <w:rPr>
          <w:rFonts w:ascii="Times New Roman" w:eastAsia="Calibri" w:hAnsi="Times New Roman"/>
          <w:kern w:val="3"/>
          <w:sz w:val="24"/>
          <w:szCs w:val="24"/>
          <w:lang w:val="en-GB" w:bidi="ne-NP"/>
        </w:rPr>
      </w:pPr>
      <w:r w:rsidRPr="00FC467D">
        <w:rPr>
          <w:rFonts w:ascii="Times New Roman" w:eastAsia="Calibri" w:hAnsi="Times New Roman"/>
          <w:kern w:val="3"/>
          <w:sz w:val="24"/>
          <w:szCs w:val="24"/>
          <w:lang w:val="en-GB" w:bidi="ne-NP"/>
        </w:rPr>
        <w:t xml:space="preserve">The Consultant works in close coordination with the Component Managers and  the Finance-in-Charge of the </w:t>
      </w:r>
      <w:proofErr w:type="spellStart"/>
      <w:r w:rsidRPr="00FC467D">
        <w:rPr>
          <w:rFonts w:ascii="Times New Roman" w:eastAsia="Calibri" w:hAnsi="Times New Roman"/>
          <w:kern w:val="3"/>
          <w:sz w:val="24"/>
          <w:szCs w:val="24"/>
          <w:lang w:val="en-GB" w:bidi="ne-NP"/>
        </w:rPr>
        <w:t>MoLESS</w:t>
      </w:r>
      <w:proofErr w:type="spellEnd"/>
      <w:r w:rsidRPr="00FC467D">
        <w:rPr>
          <w:rFonts w:ascii="Times New Roman" w:eastAsia="Calibri" w:hAnsi="Times New Roman"/>
          <w:kern w:val="3"/>
          <w:sz w:val="24"/>
          <w:szCs w:val="24"/>
          <w:lang w:val="en-GB" w:bidi="ne-NP"/>
        </w:rPr>
        <w:t xml:space="preserve"> for the day to day operation of the project. </w:t>
      </w:r>
    </w:p>
    <w:p w:rsidR="001C3045" w:rsidRPr="00FC467D" w:rsidRDefault="001C3045" w:rsidP="001C3045">
      <w:pPr>
        <w:pStyle w:val="NormalIndent1"/>
        <w:tabs>
          <w:tab w:val="left" w:pos="360"/>
          <w:tab w:val="right" w:leader="dot" w:pos="8820"/>
        </w:tabs>
        <w:spacing w:after="0" w:line="360" w:lineRule="auto"/>
        <w:ind w:left="0" w:right="206"/>
        <w:jc w:val="both"/>
        <w:rPr>
          <w:rFonts w:ascii="Times New Roman" w:hAnsi="Times New Roman"/>
          <w:sz w:val="24"/>
          <w:szCs w:val="24"/>
          <w:lang w:eastAsia="pl-PL"/>
        </w:rPr>
      </w:pPr>
    </w:p>
    <w:p w:rsidR="001C3045" w:rsidRPr="00FC467D" w:rsidRDefault="001C3045" w:rsidP="001C3045">
      <w:pPr>
        <w:pStyle w:val="Heading1"/>
        <w:rPr>
          <w:sz w:val="24"/>
        </w:rPr>
      </w:pPr>
      <w:bookmarkStart w:id="5" w:name="_Toc512104865"/>
      <w:r w:rsidRPr="00FC467D">
        <w:rPr>
          <w:sz w:val="24"/>
        </w:rPr>
        <w:t xml:space="preserve"> </w:t>
      </w:r>
      <w:bookmarkStart w:id="6" w:name="_Toc51510614"/>
      <w:r w:rsidRPr="00FC467D">
        <w:rPr>
          <w:sz w:val="24"/>
        </w:rPr>
        <w:t>TASKS, DUTIES &amp; RESPONSIBILITIES OF THE CONSULTAN</w:t>
      </w:r>
      <w:bookmarkEnd w:id="5"/>
      <w:r w:rsidRPr="00FC467D">
        <w:rPr>
          <w:sz w:val="24"/>
        </w:rPr>
        <w:t>T</w:t>
      </w:r>
      <w:bookmarkEnd w:id="6"/>
    </w:p>
    <w:p w:rsidR="001C3045" w:rsidRPr="00FC467D" w:rsidRDefault="001C3045" w:rsidP="001C3045">
      <w:pPr>
        <w:rPr>
          <w:rFonts w:ascii="Times New Roman" w:hAnsi="Times New Roman" w:cs="Times New Roman"/>
        </w:rPr>
      </w:pPr>
    </w:p>
    <w:p w:rsidR="001C3045" w:rsidRPr="00FC467D" w:rsidRDefault="001C3045" w:rsidP="001C3045">
      <w:pPr>
        <w:ind w:left="720"/>
        <w:jc w:val="both"/>
        <w:rPr>
          <w:rFonts w:ascii="Times New Roman" w:hAnsi="Times New Roman" w:cs="Times New Roman"/>
          <w:sz w:val="24"/>
          <w:szCs w:val="24"/>
        </w:rPr>
      </w:pPr>
      <w:bookmarkStart w:id="7" w:name="_Toc512104868"/>
      <w:r w:rsidRPr="00FC467D">
        <w:rPr>
          <w:rFonts w:ascii="Times New Roman" w:hAnsi="Times New Roman" w:cs="Times New Roman"/>
          <w:sz w:val="24"/>
          <w:szCs w:val="24"/>
        </w:rPr>
        <w:t xml:space="preserve">The Consultant shall perform, but not limited to, the following duties / tasks:  </w:t>
      </w:r>
    </w:p>
    <w:p w:rsidR="001C3045" w:rsidRPr="00FC467D" w:rsidRDefault="001C3045" w:rsidP="001C3045">
      <w:pPr>
        <w:pStyle w:val="ListParagraph"/>
        <w:numPr>
          <w:ilvl w:val="0"/>
          <w:numId w:val="4"/>
        </w:numPr>
        <w:spacing w:after="240" w:line="360" w:lineRule="auto"/>
        <w:ind w:left="1080" w:hanging="360"/>
        <w:jc w:val="both"/>
        <w:rPr>
          <w:rFonts w:ascii="Times New Roman" w:hAnsi="Times New Roman" w:cs="Times New Roman"/>
          <w:sz w:val="24"/>
          <w:szCs w:val="24"/>
        </w:rPr>
      </w:pPr>
      <w:r w:rsidRPr="00FC467D">
        <w:rPr>
          <w:rFonts w:ascii="Times New Roman" w:hAnsi="Times New Roman" w:cs="Times New Roman"/>
          <w:sz w:val="24"/>
          <w:szCs w:val="24"/>
        </w:rPr>
        <w:t>Support in undertaking overall financial management functions in respect to the project and PMEP. This includes budgeting, expenditure tracking, reporting and assuring fiduciary risk management,</w:t>
      </w:r>
    </w:p>
    <w:p w:rsidR="001C3045" w:rsidRPr="00FC467D" w:rsidRDefault="001C3045" w:rsidP="001C3045">
      <w:pPr>
        <w:pStyle w:val="ListParagraph"/>
        <w:numPr>
          <w:ilvl w:val="0"/>
          <w:numId w:val="4"/>
        </w:numPr>
        <w:spacing w:after="240" w:line="360" w:lineRule="auto"/>
        <w:ind w:left="1080" w:hanging="360"/>
        <w:jc w:val="both"/>
        <w:rPr>
          <w:rFonts w:ascii="Times New Roman" w:hAnsi="Times New Roman" w:cs="Times New Roman"/>
          <w:sz w:val="24"/>
          <w:szCs w:val="24"/>
        </w:rPr>
      </w:pPr>
      <w:r w:rsidRPr="00FC467D">
        <w:rPr>
          <w:rFonts w:ascii="Times New Roman" w:hAnsi="Times New Roman" w:cs="Times New Roman"/>
          <w:sz w:val="24"/>
          <w:szCs w:val="24"/>
        </w:rPr>
        <w:t>Undertake financial management assessment for operations and ensures the ongoing project operations are in line with budgeting, internal control, financial reporting, auditing and also update the information in the WB portals,</w:t>
      </w:r>
    </w:p>
    <w:p w:rsidR="001C3045" w:rsidRPr="00FC467D" w:rsidRDefault="001C3045" w:rsidP="001C3045">
      <w:pPr>
        <w:pStyle w:val="ListParagraph"/>
        <w:numPr>
          <w:ilvl w:val="0"/>
          <w:numId w:val="4"/>
        </w:numPr>
        <w:spacing w:after="240" w:line="360" w:lineRule="auto"/>
        <w:ind w:left="1080" w:hanging="360"/>
        <w:jc w:val="both"/>
        <w:rPr>
          <w:rFonts w:ascii="Times New Roman" w:hAnsi="Times New Roman" w:cs="Times New Roman"/>
          <w:sz w:val="24"/>
          <w:szCs w:val="24"/>
        </w:rPr>
      </w:pPr>
      <w:r w:rsidRPr="00FC467D">
        <w:rPr>
          <w:rFonts w:ascii="Times New Roman" w:hAnsi="Times New Roman" w:cs="Times New Roman"/>
          <w:sz w:val="24"/>
          <w:szCs w:val="24"/>
        </w:rPr>
        <w:t>Monitor expenditures of PMU and local level to ensure compliance of applicable procedures and recommend required additional internal control procedures based on financial management risk assessment.</w:t>
      </w:r>
    </w:p>
    <w:p w:rsidR="001C3045" w:rsidRPr="00FC467D" w:rsidRDefault="001C3045" w:rsidP="001C3045">
      <w:pPr>
        <w:pStyle w:val="ListParagraph"/>
        <w:numPr>
          <w:ilvl w:val="0"/>
          <w:numId w:val="4"/>
        </w:numPr>
        <w:spacing w:after="240" w:line="360" w:lineRule="auto"/>
        <w:ind w:left="1080" w:hanging="360"/>
        <w:jc w:val="both"/>
        <w:rPr>
          <w:rFonts w:ascii="Times New Roman" w:hAnsi="Times New Roman" w:cs="Times New Roman"/>
          <w:sz w:val="24"/>
          <w:szCs w:val="24"/>
        </w:rPr>
      </w:pPr>
      <w:r w:rsidRPr="00FC467D">
        <w:rPr>
          <w:rFonts w:ascii="Times New Roman" w:hAnsi="Times New Roman" w:cs="Times New Roman"/>
          <w:sz w:val="24"/>
          <w:szCs w:val="24"/>
        </w:rPr>
        <w:t>Prepare statement of expenditure with item-wise details and segregation of costs for the periodic internal and external audit purpose. This includes a periodic reconciliation of accounts with the details of FCGO,</w:t>
      </w:r>
    </w:p>
    <w:p w:rsidR="001C3045" w:rsidRPr="00FC467D" w:rsidRDefault="001C3045" w:rsidP="001C3045">
      <w:pPr>
        <w:pStyle w:val="ListParagraph"/>
        <w:numPr>
          <w:ilvl w:val="0"/>
          <w:numId w:val="4"/>
        </w:numPr>
        <w:spacing w:after="240" w:line="360" w:lineRule="auto"/>
        <w:ind w:left="1080" w:hanging="360"/>
        <w:jc w:val="both"/>
        <w:rPr>
          <w:rFonts w:ascii="Times New Roman" w:hAnsi="Times New Roman" w:cs="Times New Roman"/>
          <w:sz w:val="24"/>
          <w:szCs w:val="24"/>
        </w:rPr>
      </w:pPr>
      <w:r w:rsidRPr="00FC467D">
        <w:rPr>
          <w:rFonts w:ascii="Times New Roman" w:hAnsi="Times New Roman" w:cs="Times New Roman"/>
          <w:sz w:val="24"/>
          <w:szCs w:val="24"/>
        </w:rPr>
        <w:t xml:space="preserve">Support the project and PMEP in formulating annual work plan and budget,  </w:t>
      </w:r>
    </w:p>
    <w:p w:rsidR="001C3045" w:rsidRPr="00FC467D" w:rsidRDefault="001C3045" w:rsidP="001C3045">
      <w:pPr>
        <w:pStyle w:val="ListParagraph"/>
        <w:numPr>
          <w:ilvl w:val="0"/>
          <w:numId w:val="4"/>
        </w:numPr>
        <w:spacing w:after="240" w:line="360" w:lineRule="auto"/>
        <w:ind w:left="1080" w:hanging="360"/>
        <w:jc w:val="both"/>
        <w:rPr>
          <w:rFonts w:ascii="Times New Roman" w:hAnsi="Times New Roman" w:cs="Times New Roman"/>
          <w:sz w:val="24"/>
          <w:szCs w:val="24"/>
        </w:rPr>
      </w:pPr>
      <w:r w:rsidRPr="00FC467D">
        <w:rPr>
          <w:rFonts w:ascii="Times New Roman" w:hAnsi="Times New Roman" w:cs="Times New Roman"/>
          <w:sz w:val="24"/>
          <w:szCs w:val="24"/>
        </w:rPr>
        <w:t xml:space="preserve">Provide training, guidance and advice on financial  management aspects to the PMU, </w:t>
      </w:r>
      <w:r w:rsidRPr="009C34EA">
        <w:rPr>
          <w:rFonts w:ascii="Times New Roman" w:hAnsi="Times New Roman" w:cs="Times New Roman"/>
          <w:sz w:val="24"/>
          <w:szCs w:val="24"/>
        </w:rPr>
        <w:t>ESCs</w:t>
      </w:r>
      <w:r w:rsidRPr="00FC467D">
        <w:rPr>
          <w:rFonts w:ascii="Times New Roman" w:hAnsi="Times New Roman" w:cs="Times New Roman"/>
          <w:sz w:val="24"/>
          <w:szCs w:val="24"/>
        </w:rPr>
        <w:t xml:space="preserve"> and local levels,</w:t>
      </w:r>
    </w:p>
    <w:p w:rsidR="001C3045" w:rsidRPr="00FC467D" w:rsidRDefault="001C3045" w:rsidP="001C3045">
      <w:pPr>
        <w:pStyle w:val="ListParagraph"/>
        <w:numPr>
          <w:ilvl w:val="0"/>
          <w:numId w:val="4"/>
        </w:numPr>
        <w:spacing w:after="240" w:line="360" w:lineRule="auto"/>
        <w:ind w:left="1080" w:hanging="360"/>
        <w:jc w:val="both"/>
        <w:rPr>
          <w:rFonts w:ascii="Times New Roman" w:hAnsi="Times New Roman" w:cs="Times New Roman"/>
          <w:sz w:val="24"/>
          <w:szCs w:val="24"/>
        </w:rPr>
      </w:pPr>
      <w:r w:rsidRPr="00FC467D">
        <w:rPr>
          <w:rFonts w:ascii="Times New Roman" w:hAnsi="Times New Roman" w:cs="Times New Roman"/>
          <w:sz w:val="24"/>
          <w:szCs w:val="24"/>
        </w:rPr>
        <w:t>Prepare and support in submitting withdrawal applications to the World Bank,</w:t>
      </w:r>
    </w:p>
    <w:p w:rsidR="001C3045" w:rsidRPr="00FC467D" w:rsidRDefault="001C3045" w:rsidP="001C3045">
      <w:pPr>
        <w:pStyle w:val="ListParagraph"/>
        <w:numPr>
          <w:ilvl w:val="0"/>
          <w:numId w:val="4"/>
        </w:numPr>
        <w:spacing w:after="240" w:line="360" w:lineRule="auto"/>
        <w:ind w:left="1080" w:hanging="360"/>
        <w:jc w:val="both"/>
        <w:rPr>
          <w:rFonts w:ascii="Times New Roman" w:hAnsi="Times New Roman" w:cs="Times New Roman"/>
          <w:sz w:val="24"/>
          <w:szCs w:val="24"/>
        </w:rPr>
      </w:pPr>
      <w:r w:rsidRPr="00FC467D">
        <w:rPr>
          <w:rFonts w:ascii="Times New Roman" w:hAnsi="Times New Roman" w:cs="Times New Roman"/>
          <w:sz w:val="24"/>
          <w:szCs w:val="24"/>
        </w:rPr>
        <w:t xml:space="preserve">Liaise with local level and </w:t>
      </w:r>
      <w:proofErr w:type="spellStart"/>
      <w:r w:rsidRPr="00FC467D">
        <w:rPr>
          <w:rFonts w:ascii="Times New Roman" w:hAnsi="Times New Roman" w:cs="Times New Roman"/>
          <w:sz w:val="24"/>
          <w:szCs w:val="24"/>
        </w:rPr>
        <w:t>MoLESS</w:t>
      </w:r>
      <w:proofErr w:type="spellEnd"/>
      <w:r w:rsidRPr="00FC467D">
        <w:rPr>
          <w:rFonts w:ascii="Times New Roman" w:hAnsi="Times New Roman" w:cs="Times New Roman"/>
          <w:sz w:val="24"/>
          <w:szCs w:val="24"/>
        </w:rPr>
        <w:t xml:space="preserve"> to generate financial expenditure reports, covering all  project components as required by the WB and </w:t>
      </w:r>
      <w:proofErr w:type="spellStart"/>
      <w:r w:rsidRPr="00FC467D">
        <w:rPr>
          <w:rFonts w:ascii="Times New Roman" w:hAnsi="Times New Roman" w:cs="Times New Roman"/>
          <w:sz w:val="24"/>
          <w:szCs w:val="24"/>
        </w:rPr>
        <w:t>GoN</w:t>
      </w:r>
      <w:proofErr w:type="spellEnd"/>
      <w:r w:rsidRPr="00FC467D">
        <w:rPr>
          <w:rFonts w:ascii="Times New Roman" w:hAnsi="Times New Roman" w:cs="Times New Roman"/>
          <w:sz w:val="24"/>
          <w:szCs w:val="24"/>
        </w:rPr>
        <w:t xml:space="preserve">, </w:t>
      </w:r>
    </w:p>
    <w:p w:rsidR="001C3045" w:rsidRPr="00FC467D" w:rsidRDefault="001C3045" w:rsidP="001C3045">
      <w:pPr>
        <w:pStyle w:val="ListParagraph"/>
        <w:numPr>
          <w:ilvl w:val="0"/>
          <w:numId w:val="4"/>
        </w:numPr>
        <w:spacing w:after="240" w:line="360" w:lineRule="auto"/>
        <w:ind w:left="1080" w:hanging="360"/>
        <w:jc w:val="both"/>
        <w:rPr>
          <w:rFonts w:ascii="Times New Roman" w:hAnsi="Times New Roman" w:cs="Times New Roman"/>
          <w:sz w:val="24"/>
          <w:szCs w:val="24"/>
        </w:rPr>
      </w:pPr>
      <w:r w:rsidRPr="00FC467D">
        <w:rPr>
          <w:rFonts w:ascii="Times New Roman" w:hAnsi="Times New Roman" w:cs="Times New Roman"/>
          <w:sz w:val="24"/>
          <w:szCs w:val="24"/>
        </w:rPr>
        <w:t xml:space="preserve">Follow-up fund transfer requested in the WB to the Designated Account for reimbursement and replenishment, </w:t>
      </w:r>
    </w:p>
    <w:p w:rsidR="001C3045" w:rsidRPr="00FC467D" w:rsidRDefault="001C3045" w:rsidP="001C3045">
      <w:pPr>
        <w:pStyle w:val="ListParagraph"/>
        <w:numPr>
          <w:ilvl w:val="0"/>
          <w:numId w:val="4"/>
        </w:numPr>
        <w:spacing w:after="240" w:line="360" w:lineRule="auto"/>
        <w:ind w:left="1080" w:hanging="360"/>
        <w:jc w:val="both"/>
        <w:rPr>
          <w:rFonts w:ascii="Times New Roman" w:hAnsi="Times New Roman" w:cs="Times New Roman"/>
          <w:sz w:val="24"/>
          <w:szCs w:val="24"/>
        </w:rPr>
      </w:pPr>
      <w:r w:rsidRPr="00FC467D">
        <w:rPr>
          <w:rFonts w:ascii="Times New Roman" w:hAnsi="Times New Roman" w:cs="Times New Roman"/>
          <w:sz w:val="24"/>
          <w:szCs w:val="24"/>
        </w:rPr>
        <w:t xml:space="preserve">Liaise with auditors for annual audit of the project, respond to audit observations, arrange meeting and ensure that audited financial statements are submitted to the World Bank </w:t>
      </w:r>
      <w:proofErr w:type="spellStart"/>
      <w:r w:rsidRPr="00FC467D">
        <w:rPr>
          <w:rFonts w:ascii="Times New Roman" w:hAnsi="Times New Roman" w:cs="Times New Roman"/>
          <w:sz w:val="24"/>
          <w:szCs w:val="24"/>
        </w:rPr>
        <w:t>timelt</w:t>
      </w:r>
      <w:proofErr w:type="spellEnd"/>
      <w:r w:rsidRPr="00FC467D">
        <w:rPr>
          <w:rFonts w:ascii="Times New Roman" w:hAnsi="Times New Roman" w:cs="Times New Roman"/>
          <w:sz w:val="24"/>
          <w:szCs w:val="24"/>
        </w:rPr>
        <w:t xml:space="preserve">, </w:t>
      </w:r>
    </w:p>
    <w:p w:rsidR="001C3045" w:rsidRPr="00FC467D" w:rsidRDefault="001C3045" w:rsidP="001C3045">
      <w:pPr>
        <w:pStyle w:val="ListParagraph"/>
        <w:numPr>
          <w:ilvl w:val="0"/>
          <w:numId w:val="4"/>
        </w:numPr>
        <w:spacing w:after="240" w:line="360" w:lineRule="auto"/>
        <w:ind w:left="1080" w:hanging="360"/>
        <w:jc w:val="both"/>
        <w:rPr>
          <w:rFonts w:ascii="Times New Roman" w:hAnsi="Times New Roman" w:cs="Times New Roman"/>
          <w:sz w:val="24"/>
          <w:szCs w:val="24"/>
        </w:rPr>
      </w:pPr>
      <w:r w:rsidRPr="00FC467D">
        <w:rPr>
          <w:rFonts w:ascii="Times New Roman" w:hAnsi="Times New Roman" w:cs="Times New Roman"/>
          <w:sz w:val="24"/>
          <w:szCs w:val="24"/>
        </w:rPr>
        <w:t xml:space="preserve">Ensure that 754 cost </w:t>
      </w:r>
      <w:proofErr w:type="spellStart"/>
      <w:r w:rsidRPr="00FC467D">
        <w:rPr>
          <w:rFonts w:ascii="Times New Roman" w:hAnsi="Times New Roman" w:cs="Times New Roman"/>
          <w:sz w:val="24"/>
          <w:szCs w:val="24"/>
        </w:rPr>
        <w:t>centres’</w:t>
      </w:r>
      <w:proofErr w:type="spellEnd"/>
      <w:r w:rsidRPr="00FC467D">
        <w:rPr>
          <w:rFonts w:ascii="Times New Roman" w:hAnsi="Times New Roman" w:cs="Times New Roman"/>
          <w:sz w:val="24"/>
          <w:szCs w:val="24"/>
        </w:rPr>
        <w:t xml:space="preserve"> expenditures are consolidated in time and reflected in the project accounts and assist the PMU to submit the financial reports to the World Bank, </w:t>
      </w:r>
    </w:p>
    <w:p w:rsidR="001C3045" w:rsidRPr="00FC467D" w:rsidRDefault="001C3045" w:rsidP="001C3045">
      <w:pPr>
        <w:pStyle w:val="ListParagraph"/>
        <w:numPr>
          <w:ilvl w:val="0"/>
          <w:numId w:val="4"/>
        </w:numPr>
        <w:spacing w:after="240" w:line="360" w:lineRule="auto"/>
        <w:ind w:left="1080" w:hanging="360"/>
        <w:jc w:val="both"/>
        <w:rPr>
          <w:rFonts w:ascii="Times New Roman" w:hAnsi="Times New Roman" w:cs="Times New Roman"/>
          <w:sz w:val="24"/>
          <w:szCs w:val="24"/>
        </w:rPr>
      </w:pPr>
      <w:r w:rsidRPr="00FC467D">
        <w:rPr>
          <w:rFonts w:ascii="Times New Roman" w:hAnsi="Times New Roman" w:cs="Times New Roman"/>
          <w:sz w:val="24"/>
          <w:szCs w:val="24"/>
        </w:rPr>
        <w:t>Develop financial and documentation process and support PMU and local levels in implementing the internal control system,</w:t>
      </w:r>
    </w:p>
    <w:p w:rsidR="001C3045" w:rsidRPr="00FC467D" w:rsidRDefault="001C3045" w:rsidP="001C3045">
      <w:pPr>
        <w:pStyle w:val="ListParagraph"/>
        <w:numPr>
          <w:ilvl w:val="0"/>
          <w:numId w:val="4"/>
        </w:numPr>
        <w:spacing w:after="240" w:line="360" w:lineRule="auto"/>
        <w:ind w:left="1080" w:hanging="360"/>
        <w:jc w:val="both"/>
        <w:rPr>
          <w:rFonts w:ascii="Times New Roman" w:hAnsi="Times New Roman" w:cs="Times New Roman"/>
          <w:sz w:val="24"/>
          <w:szCs w:val="24"/>
        </w:rPr>
      </w:pPr>
      <w:r w:rsidRPr="00FC467D">
        <w:rPr>
          <w:rFonts w:ascii="Times New Roman" w:hAnsi="Times New Roman" w:cs="Times New Roman"/>
          <w:sz w:val="24"/>
          <w:szCs w:val="24"/>
        </w:rPr>
        <w:lastRenderedPageBreak/>
        <w:t>Prepare Interim Unaudited Financial Reports (IUFRs), Implementation Progress Reports, Financial Progress Reports and Project Financial Statements, as required by GON and the World Bank considering approved guidelines,</w:t>
      </w:r>
    </w:p>
    <w:p w:rsidR="001C3045" w:rsidRPr="00FC467D" w:rsidRDefault="001C3045" w:rsidP="001C3045">
      <w:pPr>
        <w:pStyle w:val="ListParagraph"/>
        <w:numPr>
          <w:ilvl w:val="0"/>
          <w:numId w:val="4"/>
        </w:numPr>
        <w:spacing w:after="240" w:line="360" w:lineRule="auto"/>
        <w:ind w:left="1080" w:hanging="360"/>
        <w:jc w:val="both"/>
        <w:rPr>
          <w:rFonts w:ascii="Times New Roman" w:hAnsi="Times New Roman" w:cs="Times New Roman"/>
          <w:sz w:val="24"/>
          <w:szCs w:val="24"/>
        </w:rPr>
      </w:pPr>
      <w:r w:rsidRPr="00FC467D">
        <w:rPr>
          <w:rFonts w:ascii="Times New Roman" w:hAnsi="Times New Roman" w:cs="Times New Roman"/>
          <w:sz w:val="24"/>
          <w:szCs w:val="24"/>
        </w:rPr>
        <w:t xml:space="preserve">Support the National Project Director in liaising with Ministry of Finance, Financial Comptroller General Office, Office of Auditor General, District Treasury Controller Office, the World Bank, and other related organization as required, </w:t>
      </w:r>
    </w:p>
    <w:p w:rsidR="001C3045" w:rsidRPr="00FC467D" w:rsidRDefault="001C3045" w:rsidP="001C3045">
      <w:pPr>
        <w:pStyle w:val="ListParagraph"/>
        <w:numPr>
          <w:ilvl w:val="0"/>
          <w:numId w:val="4"/>
        </w:numPr>
        <w:spacing w:after="240" w:line="360" w:lineRule="auto"/>
        <w:ind w:left="1080" w:hanging="360"/>
        <w:jc w:val="both"/>
        <w:rPr>
          <w:rFonts w:ascii="Times New Roman" w:hAnsi="Times New Roman" w:cs="Times New Roman"/>
          <w:sz w:val="24"/>
          <w:szCs w:val="24"/>
        </w:rPr>
      </w:pPr>
      <w:r w:rsidRPr="00FC467D">
        <w:rPr>
          <w:rFonts w:ascii="Times New Roman" w:hAnsi="Times New Roman" w:cs="Times New Roman"/>
          <w:sz w:val="24"/>
          <w:szCs w:val="24"/>
        </w:rPr>
        <w:t>Assist and advise finance perspective on procurement related documents,</w:t>
      </w:r>
    </w:p>
    <w:p w:rsidR="001C3045" w:rsidRPr="00FC467D" w:rsidRDefault="001C3045" w:rsidP="001C3045">
      <w:pPr>
        <w:pStyle w:val="ListParagraph"/>
        <w:numPr>
          <w:ilvl w:val="0"/>
          <w:numId w:val="4"/>
        </w:numPr>
        <w:spacing w:after="0" w:line="360" w:lineRule="auto"/>
        <w:ind w:left="1080" w:hanging="360"/>
        <w:jc w:val="both"/>
        <w:rPr>
          <w:rFonts w:ascii="Times New Roman" w:hAnsi="Times New Roman" w:cs="Times New Roman"/>
          <w:color w:val="000000" w:themeColor="text1"/>
          <w:sz w:val="24"/>
          <w:szCs w:val="24"/>
          <w:lang w:val="en-IN"/>
        </w:rPr>
      </w:pPr>
      <w:r w:rsidRPr="00FC467D">
        <w:rPr>
          <w:rFonts w:ascii="Times New Roman" w:hAnsi="Times New Roman" w:cs="Times New Roman"/>
          <w:sz w:val="24"/>
          <w:szCs w:val="24"/>
        </w:rPr>
        <w:t xml:space="preserve">The consultant shall undertake any other duties related to the project financial management as assigned by the NPD / PMU,  </w:t>
      </w:r>
    </w:p>
    <w:p w:rsidR="001C3045" w:rsidRPr="00FC467D" w:rsidRDefault="001C3045" w:rsidP="001C3045">
      <w:pPr>
        <w:jc w:val="both"/>
        <w:rPr>
          <w:rFonts w:ascii="Times New Roman" w:hAnsi="Times New Roman" w:cs="Times New Roman"/>
          <w:color w:val="000000" w:themeColor="text1"/>
          <w:sz w:val="24"/>
          <w:szCs w:val="24"/>
          <w:lang w:val="en-IN"/>
        </w:rPr>
      </w:pPr>
    </w:p>
    <w:p w:rsidR="001C3045" w:rsidRPr="00FC467D" w:rsidRDefault="001C3045" w:rsidP="001C3045">
      <w:pPr>
        <w:pStyle w:val="Heading1"/>
        <w:rPr>
          <w:sz w:val="24"/>
          <w:szCs w:val="22"/>
        </w:rPr>
      </w:pPr>
      <w:bookmarkStart w:id="8" w:name="_Toc51510615"/>
      <w:r w:rsidRPr="00FC467D">
        <w:rPr>
          <w:sz w:val="24"/>
          <w:szCs w:val="22"/>
        </w:rPr>
        <w:t>DELIVERABLES AND REPORTINGS</w:t>
      </w:r>
      <w:bookmarkEnd w:id="7"/>
      <w:bookmarkEnd w:id="8"/>
    </w:p>
    <w:p w:rsidR="001C3045" w:rsidRPr="00FC467D" w:rsidRDefault="001C3045" w:rsidP="001C3045">
      <w:pPr>
        <w:pStyle w:val="NormalWeb"/>
        <w:spacing w:before="0" w:beforeAutospacing="0" w:after="240" w:afterAutospacing="0" w:line="360" w:lineRule="auto"/>
        <w:ind w:left="720"/>
        <w:jc w:val="both"/>
      </w:pPr>
      <w:r w:rsidRPr="00FC467D">
        <w:t xml:space="preserve">The Consultant shall require submitting  monthly work plan and reports within the tentative framework of the following Work-Plan and Duties &amp; Responsibilities.  </w:t>
      </w:r>
    </w:p>
    <w:tbl>
      <w:tblPr>
        <w:tblStyle w:val="TableGrid"/>
        <w:tblW w:w="0" w:type="auto"/>
        <w:tblInd w:w="720" w:type="dxa"/>
        <w:tblLook w:val="04A0" w:firstRow="1" w:lastRow="0" w:firstColumn="1" w:lastColumn="0" w:noHBand="0" w:noVBand="1"/>
      </w:tblPr>
      <w:tblGrid>
        <w:gridCol w:w="895"/>
        <w:gridCol w:w="3263"/>
        <w:gridCol w:w="1954"/>
        <w:gridCol w:w="2320"/>
      </w:tblGrid>
      <w:tr w:rsidR="001C3045" w:rsidRPr="00FC467D" w:rsidTr="00E82760">
        <w:trPr>
          <w:trHeight w:val="440"/>
        </w:trPr>
        <w:tc>
          <w:tcPr>
            <w:tcW w:w="895" w:type="dxa"/>
          </w:tcPr>
          <w:p w:rsidR="001C3045" w:rsidRPr="00FC467D" w:rsidRDefault="001C3045" w:rsidP="00E82760">
            <w:pPr>
              <w:pStyle w:val="NormalWeb"/>
              <w:spacing w:before="0" w:beforeAutospacing="0" w:after="240" w:afterAutospacing="0" w:line="360" w:lineRule="auto"/>
              <w:jc w:val="both"/>
              <w:rPr>
                <w:b/>
                <w:bCs/>
                <w:sz w:val="22"/>
                <w:szCs w:val="22"/>
              </w:rPr>
            </w:pPr>
            <w:r w:rsidRPr="00FC467D">
              <w:rPr>
                <w:b/>
                <w:bCs/>
                <w:sz w:val="22"/>
                <w:szCs w:val="22"/>
              </w:rPr>
              <w:t>S.N.</w:t>
            </w:r>
          </w:p>
        </w:tc>
        <w:tc>
          <w:tcPr>
            <w:tcW w:w="3263" w:type="dxa"/>
          </w:tcPr>
          <w:p w:rsidR="001C3045" w:rsidRPr="00FC467D" w:rsidRDefault="001C3045" w:rsidP="00E82760">
            <w:pPr>
              <w:pStyle w:val="NormalWeb"/>
              <w:spacing w:before="0" w:beforeAutospacing="0" w:after="240" w:afterAutospacing="0" w:line="360" w:lineRule="auto"/>
              <w:jc w:val="both"/>
              <w:rPr>
                <w:b/>
                <w:bCs/>
                <w:sz w:val="22"/>
                <w:szCs w:val="22"/>
              </w:rPr>
            </w:pPr>
            <w:r w:rsidRPr="00FC467D">
              <w:rPr>
                <w:b/>
                <w:bCs/>
                <w:sz w:val="22"/>
                <w:szCs w:val="22"/>
              </w:rPr>
              <w:t>Details</w:t>
            </w:r>
          </w:p>
        </w:tc>
        <w:tc>
          <w:tcPr>
            <w:tcW w:w="1954" w:type="dxa"/>
          </w:tcPr>
          <w:p w:rsidR="001C3045" w:rsidRPr="00FC467D" w:rsidRDefault="001C3045" w:rsidP="00E82760">
            <w:pPr>
              <w:pStyle w:val="NormalWeb"/>
              <w:spacing w:before="0" w:beforeAutospacing="0" w:after="240" w:afterAutospacing="0" w:line="360" w:lineRule="auto"/>
              <w:jc w:val="both"/>
              <w:rPr>
                <w:b/>
                <w:bCs/>
                <w:sz w:val="22"/>
                <w:szCs w:val="22"/>
              </w:rPr>
            </w:pPr>
            <w:r w:rsidRPr="00FC467D">
              <w:rPr>
                <w:b/>
                <w:bCs/>
                <w:sz w:val="22"/>
                <w:szCs w:val="22"/>
              </w:rPr>
              <w:t xml:space="preserve">Frequency </w:t>
            </w:r>
          </w:p>
        </w:tc>
        <w:tc>
          <w:tcPr>
            <w:tcW w:w="2320" w:type="dxa"/>
          </w:tcPr>
          <w:p w:rsidR="001C3045" w:rsidRPr="00FC467D" w:rsidRDefault="001C3045" w:rsidP="00E82760">
            <w:pPr>
              <w:pStyle w:val="NormalWeb"/>
              <w:spacing w:before="0" w:beforeAutospacing="0" w:after="240" w:afterAutospacing="0" w:line="360" w:lineRule="auto"/>
              <w:jc w:val="both"/>
              <w:rPr>
                <w:b/>
                <w:bCs/>
                <w:sz w:val="22"/>
                <w:szCs w:val="22"/>
              </w:rPr>
            </w:pPr>
            <w:r w:rsidRPr="00FC467D">
              <w:rPr>
                <w:b/>
                <w:bCs/>
                <w:sz w:val="22"/>
                <w:szCs w:val="22"/>
              </w:rPr>
              <w:t>Deliverable</w:t>
            </w:r>
          </w:p>
        </w:tc>
      </w:tr>
      <w:tr w:rsidR="001C3045" w:rsidRPr="00FC467D" w:rsidTr="00E82760">
        <w:trPr>
          <w:trHeight w:val="728"/>
        </w:trPr>
        <w:tc>
          <w:tcPr>
            <w:tcW w:w="895"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1.</w:t>
            </w:r>
          </w:p>
        </w:tc>
        <w:tc>
          <w:tcPr>
            <w:tcW w:w="3263"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 xml:space="preserve">Support in Annual Work Plan and Budget </w:t>
            </w:r>
          </w:p>
        </w:tc>
        <w:tc>
          <w:tcPr>
            <w:tcW w:w="1954"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Once in a year</w:t>
            </w:r>
          </w:p>
        </w:tc>
        <w:tc>
          <w:tcPr>
            <w:tcW w:w="2320"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 xml:space="preserve">Report </w:t>
            </w:r>
          </w:p>
        </w:tc>
      </w:tr>
      <w:tr w:rsidR="001C3045" w:rsidRPr="00FC467D" w:rsidTr="00E82760">
        <w:trPr>
          <w:trHeight w:val="432"/>
        </w:trPr>
        <w:tc>
          <w:tcPr>
            <w:tcW w:w="895"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2</w:t>
            </w:r>
          </w:p>
        </w:tc>
        <w:tc>
          <w:tcPr>
            <w:tcW w:w="3263" w:type="dxa"/>
          </w:tcPr>
          <w:p w:rsidR="001C3045" w:rsidRPr="00FC467D" w:rsidRDefault="001C3045" w:rsidP="00E82760">
            <w:pPr>
              <w:pStyle w:val="NormalWeb"/>
              <w:spacing w:before="0" w:beforeAutospacing="0" w:after="240" w:afterAutospacing="0" w:line="360" w:lineRule="auto"/>
              <w:jc w:val="both"/>
              <w:rPr>
                <w:sz w:val="22"/>
                <w:szCs w:val="22"/>
              </w:rPr>
            </w:pPr>
            <w:proofErr w:type="spellStart"/>
            <w:r w:rsidRPr="00FC467D">
              <w:rPr>
                <w:sz w:val="22"/>
                <w:szCs w:val="22"/>
              </w:rPr>
              <w:t>Quadrimester</w:t>
            </w:r>
            <w:proofErr w:type="spellEnd"/>
            <w:r w:rsidRPr="00FC467D">
              <w:rPr>
                <w:sz w:val="22"/>
                <w:szCs w:val="22"/>
              </w:rPr>
              <w:t xml:space="preserve"> Financial Monitoring Reports (FMRs) and Review </w:t>
            </w:r>
          </w:p>
        </w:tc>
        <w:tc>
          <w:tcPr>
            <w:tcW w:w="1954"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3 times in a year</w:t>
            </w:r>
          </w:p>
        </w:tc>
        <w:tc>
          <w:tcPr>
            <w:tcW w:w="2320"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Report</w:t>
            </w:r>
          </w:p>
        </w:tc>
      </w:tr>
      <w:tr w:rsidR="001C3045" w:rsidRPr="00FC467D" w:rsidTr="00E82760">
        <w:trPr>
          <w:trHeight w:val="432"/>
        </w:trPr>
        <w:tc>
          <w:tcPr>
            <w:tcW w:w="895"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3</w:t>
            </w:r>
          </w:p>
        </w:tc>
        <w:tc>
          <w:tcPr>
            <w:tcW w:w="3263"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Half-yearly Financial and Operational Review.</w:t>
            </w:r>
          </w:p>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 xml:space="preserve">Compliance Review </w:t>
            </w:r>
          </w:p>
        </w:tc>
        <w:tc>
          <w:tcPr>
            <w:tcW w:w="1954"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 xml:space="preserve">Once in a year </w:t>
            </w:r>
          </w:p>
        </w:tc>
        <w:tc>
          <w:tcPr>
            <w:tcW w:w="2320"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 xml:space="preserve">Report </w:t>
            </w:r>
          </w:p>
        </w:tc>
      </w:tr>
      <w:tr w:rsidR="001C3045" w:rsidRPr="00FC467D" w:rsidTr="00E82760">
        <w:trPr>
          <w:trHeight w:val="432"/>
        </w:trPr>
        <w:tc>
          <w:tcPr>
            <w:tcW w:w="895" w:type="dxa"/>
          </w:tcPr>
          <w:p w:rsidR="001C3045" w:rsidRPr="00FC467D" w:rsidDel="0096458E" w:rsidRDefault="001C3045" w:rsidP="00E82760">
            <w:pPr>
              <w:pStyle w:val="NormalWeb"/>
              <w:spacing w:before="0" w:beforeAutospacing="0" w:after="240" w:afterAutospacing="0" w:line="360" w:lineRule="auto"/>
              <w:jc w:val="both"/>
              <w:rPr>
                <w:sz w:val="22"/>
                <w:szCs w:val="22"/>
              </w:rPr>
            </w:pPr>
            <w:r w:rsidRPr="00FC467D">
              <w:rPr>
                <w:sz w:val="22"/>
                <w:szCs w:val="22"/>
              </w:rPr>
              <w:t>4</w:t>
            </w:r>
          </w:p>
        </w:tc>
        <w:tc>
          <w:tcPr>
            <w:tcW w:w="3263"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 xml:space="preserve">Monthly Financial Report </w:t>
            </w:r>
          </w:p>
        </w:tc>
        <w:tc>
          <w:tcPr>
            <w:tcW w:w="1954"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Every month</w:t>
            </w:r>
          </w:p>
        </w:tc>
        <w:tc>
          <w:tcPr>
            <w:tcW w:w="2320"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 xml:space="preserve">Report </w:t>
            </w:r>
          </w:p>
        </w:tc>
      </w:tr>
      <w:tr w:rsidR="001C3045" w:rsidRPr="00FC467D" w:rsidTr="00E82760">
        <w:trPr>
          <w:trHeight w:val="432"/>
        </w:trPr>
        <w:tc>
          <w:tcPr>
            <w:tcW w:w="895" w:type="dxa"/>
          </w:tcPr>
          <w:p w:rsidR="001C3045" w:rsidRPr="00BE75B3" w:rsidRDefault="001C3045" w:rsidP="00E82760">
            <w:pPr>
              <w:pStyle w:val="NormalWeb"/>
              <w:spacing w:before="0" w:beforeAutospacing="0" w:after="240" w:afterAutospacing="0" w:line="360" w:lineRule="auto"/>
              <w:jc w:val="both"/>
              <w:rPr>
                <w:sz w:val="22"/>
                <w:szCs w:val="22"/>
              </w:rPr>
            </w:pPr>
            <w:r w:rsidRPr="00BE75B3">
              <w:rPr>
                <w:sz w:val="22"/>
                <w:szCs w:val="22"/>
              </w:rPr>
              <w:t>5</w:t>
            </w:r>
          </w:p>
        </w:tc>
        <w:tc>
          <w:tcPr>
            <w:tcW w:w="3263"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 xml:space="preserve">Training </w:t>
            </w:r>
          </w:p>
        </w:tc>
        <w:tc>
          <w:tcPr>
            <w:tcW w:w="1954"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 xml:space="preserve">As required </w:t>
            </w:r>
          </w:p>
        </w:tc>
        <w:tc>
          <w:tcPr>
            <w:tcW w:w="2320"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Report</w:t>
            </w:r>
          </w:p>
        </w:tc>
      </w:tr>
      <w:tr w:rsidR="001C3045" w:rsidRPr="00FC467D" w:rsidTr="00E82760">
        <w:trPr>
          <w:trHeight w:val="432"/>
        </w:trPr>
        <w:tc>
          <w:tcPr>
            <w:tcW w:w="895" w:type="dxa"/>
          </w:tcPr>
          <w:p w:rsidR="001C3045" w:rsidRPr="00BE75B3" w:rsidRDefault="001C3045" w:rsidP="00E82760">
            <w:pPr>
              <w:pStyle w:val="NormalWeb"/>
              <w:spacing w:before="0" w:beforeAutospacing="0" w:after="240" w:afterAutospacing="0" w:line="360" w:lineRule="auto"/>
              <w:jc w:val="both"/>
              <w:rPr>
                <w:sz w:val="22"/>
                <w:szCs w:val="22"/>
              </w:rPr>
            </w:pPr>
            <w:r>
              <w:rPr>
                <w:sz w:val="22"/>
                <w:szCs w:val="22"/>
              </w:rPr>
              <w:t>6</w:t>
            </w:r>
          </w:p>
        </w:tc>
        <w:tc>
          <w:tcPr>
            <w:tcW w:w="3263"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 xml:space="preserve">Support in regular operation </w:t>
            </w:r>
          </w:p>
        </w:tc>
        <w:tc>
          <w:tcPr>
            <w:tcW w:w="1954"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As required</w:t>
            </w:r>
          </w:p>
        </w:tc>
        <w:tc>
          <w:tcPr>
            <w:tcW w:w="2320" w:type="dxa"/>
          </w:tcPr>
          <w:p w:rsidR="001C3045" w:rsidRPr="00FC467D" w:rsidRDefault="001C3045" w:rsidP="00E82760">
            <w:pPr>
              <w:pStyle w:val="NormalWeb"/>
              <w:spacing w:before="0" w:beforeAutospacing="0" w:after="240" w:afterAutospacing="0" w:line="360" w:lineRule="auto"/>
              <w:jc w:val="both"/>
              <w:rPr>
                <w:sz w:val="22"/>
                <w:szCs w:val="22"/>
              </w:rPr>
            </w:pPr>
          </w:p>
        </w:tc>
      </w:tr>
      <w:tr w:rsidR="001C3045" w:rsidRPr="00FC467D" w:rsidTr="00E82760">
        <w:trPr>
          <w:trHeight w:val="432"/>
        </w:trPr>
        <w:tc>
          <w:tcPr>
            <w:tcW w:w="895" w:type="dxa"/>
          </w:tcPr>
          <w:p w:rsidR="001C3045" w:rsidRPr="00FC467D" w:rsidRDefault="001C3045" w:rsidP="00E82760">
            <w:pPr>
              <w:pStyle w:val="NormalWeb"/>
              <w:spacing w:before="0" w:beforeAutospacing="0" w:after="240" w:afterAutospacing="0" w:line="360" w:lineRule="auto"/>
              <w:jc w:val="both"/>
              <w:rPr>
                <w:sz w:val="22"/>
                <w:szCs w:val="22"/>
              </w:rPr>
            </w:pPr>
            <w:r>
              <w:rPr>
                <w:sz w:val="22"/>
                <w:szCs w:val="22"/>
              </w:rPr>
              <w:lastRenderedPageBreak/>
              <w:t>7</w:t>
            </w:r>
          </w:p>
        </w:tc>
        <w:tc>
          <w:tcPr>
            <w:tcW w:w="3263"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Development of financial manual and procedural document</w:t>
            </w:r>
          </w:p>
        </w:tc>
        <w:tc>
          <w:tcPr>
            <w:tcW w:w="1954" w:type="dxa"/>
          </w:tcPr>
          <w:p w:rsidR="001C3045" w:rsidRPr="00FC467D" w:rsidRDefault="001C3045" w:rsidP="00E82760">
            <w:pPr>
              <w:pStyle w:val="NormalWeb"/>
              <w:spacing w:before="0" w:beforeAutospacing="0" w:after="240" w:afterAutospacing="0" w:line="360" w:lineRule="auto"/>
              <w:jc w:val="both"/>
              <w:rPr>
                <w:sz w:val="22"/>
                <w:szCs w:val="20"/>
                <w:lang w:bidi="ne-NP"/>
              </w:rPr>
            </w:pPr>
            <w:r>
              <w:rPr>
                <w:sz w:val="22"/>
                <w:szCs w:val="22"/>
              </w:rPr>
              <w:t>As required</w:t>
            </w:r>
            <w:r w:rsidRPr="00FC467D">
              <w:rPr>
                <w:sz w:val="22"/>
                <w:szCs w:val="22"/>
              </w:rPr>
              <w:t xml:space="preserve">  </w:t>
            </w:r>
          </w:p>
        </w:tc>
        <w:tc>
          <w:tcPr>
            <w:tcW w:w="2320"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Report</w:t>
            </w:r>
          </w:p>
        </w:tc>
      </w:tr>
      <w:tr w:rsidR="001C3045" w:rsidRPr="00FC467D" w:rsidTr="00E82760">
        <w:trPr>
          <w:trHeight w:val="432"/>
        </w:trPr>
        <w:tc>
          <w:tcPr>
            <w:tcW w:w="895" w:type="dxa"/>
          </w:tcPr>
          <w:p w:rsidR="001C3045" w:rsidRPr="00BE75B3" w:rsidDel="0096458E" w:rsidRDefault="001C3045" w:rsidP="00E82760">
            <w:pPr>
              <w:pStyle w:val="NormalWeb"/>
              <w:spacing w:before="0" w:beforeAutospacing="0" w:after="240" w:afterAutospacing="0" w:line="360" w:lineRule="auto"/>
              <w:jc w:val="both"/>
              <w:rPr>
                <w:sz w:val="22"/>
                <w:szCs w:val="22"/>
              </w:rPr>
            </w:pPr>
            <w:r>
              <w:rPr>
                <w:sz w:val="22"/>
                <w:szCs w:val="22"/>
              </w:rPr>
              <w:t>8</w:t>
            </w:r>
          </w:p>
        </w:tc>
        <w:tc>
          <w:tcPr>
            <w:tcW w:w="3263"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Liaison with WB and local levels</w:t>
            </w:r>
          </w:p>
        </w:tc>
        <w:tc>
          <w:tcPr>
            <w:tcW w:w="1954"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Regular</w:t>
            </w:r>
          </w:p>
        </w:tc>
        <w:tc>
          <w:tcPr>
            <w:tcW w:w="2320" w:type="dxa"/>
          </w:tcPr>
          <w:p w:rsidR="001C3045" w:rsidRPr="00FC467D" w:rsidRDefault="001C3045" w:rsidP="00E82760">
            <w:pPr>
              <w:pStyle w:val="NormalWeb"/>
              <w:spacing w:before="0" w:beforeAutospacing="0" w:after="240" w:afterAutospacing="0" w:line="360" w:lineRule="auto"/>
              <w:jc w:val="both"/>
              <w:rPr>
                <w:strike/>
                <w:sz w:val="22"/>
                <w:szCs w:val="22"/>
              </w:rPr>
            </w:pPr>
          </w:p>
        </w:tc>
      </w:tr>
      <w:tr w:rsidR="001C3045" w:rsidRPr="00FC467D" w:rsidTr="00E82760">
        <w:trPr>
          <w:trHeight w:val="1088"/>
        </w:trPr>
        <w:tc>
          <w:tcPr>
            <w:tcW w:w="895" w:type="dxa"/>
          </w:tcPr>
          <w:p w:rsidR="001C3045" w:rsidRPr="00FC467D" w:rsidRDefault="001C3045" w:rsidP="00E82760">
            <w:pPr>
              <w:pStyle w:val="NormalWeb"/>
              <w:spacing w:before="0" w:beforeAutospacing="0" w:after="240" w:afterAutospacing="0" w:line="360" w:lineRule="auto"/>
              <w:jc w:val="both"/>
              <w:rPr>
                <w:sz w:val="22"/>
                <w:szCs w:val="22"/>
              </w:rPr>
            </w:pPr>
            <w:r>
              <w:rPr>
                <w:sz w:val="22"/>
                <w:szCs w:val="22"/>
              </w:rPr>
              <w:t>9</w:t>
            </w:r>
          </w:p>
        </w:tc>
        <w:tc>
          <w:tcPr>
            <w:tcW w:w="3263"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On the spot review of financial practices in local level</w:t>
            </w:r>
          </w:p>
        </w:tc>
        <w:tc>
          <w:tcPr>
            <w:tcW w:w="1954"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As required</w:t>
            </w:r>
          </w:p>
        </w:tc>
        <w:tc>
          <w:tcPr>
            <w:tcW w:w="2320"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Report</w:t>
            </w:r>
          </w:p>
        </w:tc>
      </w:tr>
      <w:tr w:rsidR="001C3045" w:rsidRPr="00FC467D" w:rsidTr="00E82760">
        <w:trPr>
          <w:trHeight w:val="432"/>
        </w:trPr>
        <w:tc>
          <w:tcPr>
            <w:tcW w:w="895" w:type="dxa"/>
          </w:tcPr>
          <w:p w:rsidR="001C3045" w:rsidRPr="00BE75B3" w:rsidRDefault="001C3045" w:rsidP="00E82760">
            <w:pPr>
              <w:pStyle w:val="NormalWeb"/>
              <w:spacing w:before="0" w:beforeAutospacing="0" w:after="240" w:afterAutospacing="0" w:line="360" w:lineRule="auto"/>
              <w:jc w:val="both"/>
              <w:rPr>
                <w:sz w:val="22"/>
                <w:szCs w:val="22"/>
              </w:rPr>
            </w:pPr>
            <w:r w:rsidRPr="00BE75B3">
              <w:rPr>
                <w:sz w:val="22"/>
                <w:szCs w:val="22"/>
              </w:rPr>
              <w:t>10</w:t>
            </w:r>
          </w:p>
        </w:tc>
        <w:tc>
          <w:tcPr>
            <w:tcW w:w="3263"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Prepare and submit financial reports to WB withdrawal request.</w:t>
            </w:r>
          </w:p>
        </w:tc>
        <w:tc>
          <w:tcPr>
            <w:tcW w:w="1954"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When needed</w:t>
            </w:r>
          </w:p>
        </w:tc>
        <w:tc>
          <w:tcPr>
            <w:tcW w:w="2320" w:type="dxa"/>
          </w:tcPr>
          <w:p w:rsidR="001C3045" w:rsidRPr="00FC467D" w:rsidRDefault="001C3045" w:rsidP="00E82760">
            <w:pPr>
              <w:pStyle w:val="NormalWeb"/>
              <w:spacing w:before="0" w:beforeAutospacing="0" w:after="240" w:afterAutospacing="0" w:line="360" w:lineRule="auto"/>
              <w:jc w:val="both"/>
              <w:rPr>
                <w:strike/>
                <w:sz w:val="22"/>
                <w:szCs w:val="22"/>
              </w:rPr>
            </w:pPr>
          </w:p>
        </w:tc>
      </w:tr>
      <w:tr w:rsidR="001C3045" w:rsidRPr="00FC467D" w:rsidTr="00E82760">
        <w:trPr>
          <w:trHeight w:val="432"/>
        </w:trPr>
        <w:tc>
          <w:tcPr>
            <w:tcW w:w="895" w:type="dxa"/>
          </w:tcPr>
          <w:p w:rsidR="001C3045" w:rsidRPr="009C34EA" w:rsidRDefault="001C3045" w:rsidP="00E82760">
            <w:pPr>
              <w:pStyle w:val="NormalWeb"/>
              <w:spacing w:before="0" w:beforeAutospacing="0" w:after="240" w:afterAutospacing="0" w:line="360" w:lineRule="auto"/>
              <w:jc w:val="both"/>
              <w:rPr>
                <w:sz w:val="22"/>
                <w:szCs w:val="22"/>
              </w:rPr>
            </w:pPr>
            <w:r w:rsidRPr="009C34EA">
              <w:rPr>
                <w:sz w:val="22"/>
                <w:szCs w:val="22"/>
              </w:rPr>
              <w:t>1</w:t>
            </w:r>
            <w:r>
              <w:rPr>
                <w:sz w:val="22"/>
                <w:szCs w:val="22"/>
              </w:rPr>
              <w:t>1</w:t>
            </w:r>
          </w:p>
        </w:tc>
        <w:tc>
          <w:tcPr>
            <w:tcW w:w="3263"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 xml:space="preserve">Fiduciary Risk Assessment </w:t>
            </w:r>
          </w:p>
        </w:tc>
        <w:tc>
          <w:tcPr>
            <w:tcW w:w="1954"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Ongoing</w:t>
            </w:r>
          </w:p>
        </w:tc>
        <w:tc>
          <w:tcPr>
            <w:tcW w:w="2320" w:type="dxa"/>
          </w:tcPr>
          <w:p w:rsidR="001C3045" w:rsidRPr="00FC467D" w:rsidRDefault="001C3045" w:rsidP="00E82760">
            <w:pPr>
              <w:pStyle w:val="NormalWeb"/>
              <w:spacing w:before="0" w:beforeAutospacing="0" w:after="240" w:afterAutospacing="0" w:line="360" w:lineRule="auto"/>
              <w:jc w:val="both"/>
              <w:rPr>
                <w:strike/>
                <w:sz w:val="22"/>
                <w:szCs w:val="22"/>
              </w:rPr>
            </w:pPr>
          </w:p>
        </w:tc>
      </w:tr>
      <w:tr w:rsidR="001C3045" w:rsidRPr="00FC467D" w:rsidTr="00E82760">
        <w:trPr>
          <w:trHeight w:val="432"/>
        </w:trPr>
        <w:tc>
          <w:tcPr>
            <w:tcW w:w="895" w:type="dxa"/>
          </w:tcPr>
          <w:p w:rsidR="001C3045" w:rsidRPr="00FC467D" w:rsidRDefault="001C3045" w:rsidP="00E82760">
            <w:pPr>
              <w:pStyle w:val="NormalWeb"/>
              <w:spacing w:before="0" w:beforeAutospacing="0" w:after="240" w:afterAutospacing="0" w:line="360" w:lineRule="auto"/>
              <w:jc w:val="both"/>
              <w:rPr>
                <w:sz w:val="22"/>
                <w:szCs w:val="22"/>
              </w:rPr>
            </w:pPr>
            <w:r>
              <w:rPr>
                <w:sz w:val="22"/>
                <w:szCs w:val="22"/>
              </w:rPr>
              <w:t>12</w:t>
            </w:r>
          </w:p>
        </w:tc>
        <w:tc>
          <w:tcPr>
            <w:tcW w:w="3263"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Others</w:t>
            </w:r>
          </w:p>
        </w:tc>
        <w:tc>
          <w:tcPr>
            <w:tcW w:w="1954" w:type="dxa"/>
          </w:tcPr>
          <w:p w:rsidR="001C3045" w:rsidRPr="00FC467D" w:rsidRDefault="001C3045" w:rsidP="00E82760">
            <w:pPr>
              <w:pStyle w:val="NormalWeb"/>
              <w:spacing w:before="0" w:beforeAutospacing="0" w:after="240" w:afterAutospacing="0" w:line="360" w:lineRule="auto"/>
              <w:jc w:val="both"/>
              <w:rPr>
                <w:sz w:val="22"/>
                <w:szCs w:val="22"/>
              </w:rPr>
            </w:pPr>
            <w:r w:rsidRPr="00FC467D">
              <w:rPr>
                <w:sz w:val="22"/>
                <w:szCs w:val="22"/>
              </w:rPr>
              <w:t>As requested,</w:t>
            </w:r>
          </w:p>
        </w:tc>
        <w:tc>
          <w:tcPr>
            <w:tcW w:w="2320" w:type="dxa"/>
          </w:tcPr>
          <w:p w:rsidR="001C3045" w:rsidRPr="00FC467D" w:rsidRDefault="001C3045" w:rsidP="00E82760">
            <w:pPr>
              <w:pStyle w:val="NormalWeb"/>
              <w:spacing w:before="0" w:beforeAutospacing="0" w:after="240" w:afterAutospacing="0" w:line="360" w:lineRule="auto"/>
              <w:jc w:val="both"/>
              <w:rPr>
                <w:sz w:val="22"/>
                <w:szCs w:val="22"/>
              </w:rPr>
            </w:pPr>
          </w:p>
        </w:tc>
      </w:tr>
    </w:tbl>
    <w:p w:rsidR="001C3045" w:rsidRPr="00FC467D" w:rsidRDefault="001C3045" w:rsidP="001C3045">
      <w:pPr>
        <w:autoSpaceDE w:val="0"/>
        <w:autoSpaceDN w:val="0"/>
        <w:adjustRightInd w:val="0"/>
        <w:rPr>
          <w:rFonts w:ascii="Times New Roman" w:hAnsi="Times New Roman" w:cs="Times New Roman"/>
          <w:b/>
          <w:bCs/>
          <w:szCs w:val="23"/>
          <w:lang w:bidi="ar-SA"/>
        </w:rPr>
      </w:pPr>
    </w:p>
    <w:p w:rsidR="001C3045" w:rsidRPr="00FC467D" w:rsidRDefault="001C3045" w:rsidP="001C3045">
      <w:pPr>
        <w:pStyle w:val="Heading1"/>
        <w:rPr>
          <w:sz w:val="24"/>
          <w:szCs w:val="22"/>
        </w:rPr>
      </w:pPr>
      <w:bookmarkStart w:id="9" w:name="_Toc51510616"/>
      <w:r w:rsidRPr="00FC467D">
        <w:rPr>
          <w:sz w:val="24"/>
          <w:szCs w:val="22"/>
        </w:rPr>
        <w:t>DURATION OF THE CONSULTANCY SERVICES</w:t>
      </w:r>
      <w:bookmarkEnd w:id="9"/>
    </w:p>
    <w:p w:rsidR="001C3045" w:rsidRPr="00FC467D" w:rsidRDefault="001C3045" w:rsidP="001C3045">
      <w:pPr>
        <w:pStyle w:val="ListParagraph"/>
        <w:numPr>
          <w:ilvl w:val="0"/>
          <w:numId w:val="2"/>
        </w:numPr>
        <w:spacing w:after="0" w:line="360" w:lineRule="auto"/>
        <w:ind w:left="1080"/>
        <w:contextualSpacing w:val="0"/>
        <w:jc w:val="both"/>
        <w:rPr>
          <w:rFonts w:ascii="Times New Roman" w:hAnsi="Times New Roman" w:cs="Times New Roman"/>
          <w:sz w:val="24"/>
          <w:szCs w:val="24"/>
        </w:rPr>
      </w:pPr>
      <w:r w:rsidRPr="00FC467D">
        <w:rPr>
          <w:rFonts w:ascii="Times New Roman" w:hAnsi="Times New Roman" w:cs="Times New Roman"/>
          <w:w w:val="102"/>
          <w:sz w:val="24"/>
          <w:szCs w:val="24"/>
        </w:rPr>
        <w:t>Duration of the c</w:t>
      </w:r>
      <w:r w:rsidRPr="00FC467D">
        <w:rPr>
          <w:rFonts w:ascii="Times New Roman" w:hAnsi="Times New Roman" w:cs="Times New Roman"/>
          <w:spacing w:val="-1"/>
          <w:w w:val="102"/>
          <w:sz w:val="24"/>
          <w:szCs w:val="24"/>
        </w:rPr>
        <w:t>o</w:t>
      </w:r>
      <w:r w:rsidRPr="00FC467D">
        <w:rPr>
          <w:rFonts w:ascii="Times New Roman" w:hAnsi="Times New Roman" w:cs="Times New Roman"/>
          <w:spacing w:val="1"/>
          <w:w w:val="102"/>
          <w:sz w:val="24"/>
          <w:szCs w:val="24"/>
        </w:rPr>
        <w:t>ns</w:t>
      </w:r>
      <w:r w:rsidRPr="00FC467D">
        <w:rPr>
          <w:rFonts w:ascii="Times New Roman" w:hAnsi="Times New Roman" w:cs="Times New Roman"/>
          <w:spacing w:val="-1"/>
          <w:w w:val="102"/>
          <w:sz w:val="24"/>
          <w:szCs w:val="24"/>
        </w:rPr>
        <w:t>u</w:t>
      </w:r>
      <w:r w:rsidRPr="00FC467D">
        <w:rPr>
          <w:rFonts w:ascii="Times New Roman" w:hAnsi="Times New Roman" w:cs="Times New Roman"/>
          <w:w w:val="102"/>
          <w:sz w:val="24"/>
          <w:szCs w:val="24"/>
        </w:rPr>
        <w:t>l</w:t>
      </w:r>
      <w:r w:rsidRPr="00FC467D">
        <w:rPr>
          <w:rFonts w:ascii="Times New Roman" w:hAnsi="Times New Roman" w:cs="Times New Roman"/>
          <w:spacing w:val="2"/>
          <w:w w:val="102"/>
          <w:sz w:val="24"/>
          <w:szCs w:val="24"/>
        </w:rPr>
        <w:t>t</w:t>
      </w:r>
      <w:r w:rsidRPr="00FC467D">
        <w:rPr>
          <w:rFonts w:ascii="Times New Roman" w:hAnsi="Times New Roman" w:cs="Times New Roman"/>
          <w:w w:val="102"/>
          <w:sz w:val="24"/>
          <w:szCs w:val="24"/>
        </w:rPr>
        <w:t>a</w:t>
      </w:r>
      <w:r w:rsidRPr="00FC467D">
        <w:rPr>
          <w:rFonts w:ascii="Times New Roman" w:hAnsi="Times New Roman" w:cs="Times New Roman"/>
          <w:spacing w:val="1"/>
          <w:w w:val="102"/>
          <w:sz w:val="24"/>
          <w:szCs w:val="24"/>
        </w:rPr>
        <w:t>n</w:t>
      </w:r>
      <w:r w:rsidRPr="00FC467D">
        <w:rPr>
          <w:rFonts w:ascii="Times New Roman" w:hAnsi="Times New Roman" w:cs="Times New Roman"/>
          <w:w w:val="102"/>
          <w:sz w:val="24"/>
          <w:szCs w:val="24"/>
        </w:rPr>
        <w:t>cy services is 3</w:t>
      </w:r>
      <w:r w:rsidR="003E268C">
        <w:rPr>
          <w:rFonts w:ascii="Times New Roman" w:hAnsi="Times New Roman" w:cs="Times New Roman"/>
          <w:w w:val="102"/>
          <w:sz w:val="24"/>
          <w:szCs w:val="24"/>
        </w:rPr>
        <w:t>0</w:t>
      </w:r>
      <w:r w:rsidRPr="00FC467D">
        <w:rPr>
          <w:rFonts w:ascii="Times New Roman" w:hAnsi="Times New Roman" w:cs="Times New Roman"/>
          <w:spacing w:val="1"/>
          <w:w w:val="102"/>
          <w:sz w:val="24"/>
          <w:szCs w:val="24"/>
        </w:rPr>
        <w:t xml:space="preserve"> (Thirty) m</w:t>
      </w:r>
      <w:r w:rsidRPr="00FC467D">
        <w:rPr>
          <w:rFonts w:ascii="Times New Roman" w:hAnsi="Times New Roman" w:cs="Times New Roman"/>
          <w:spacing w:val="-1"/>
          <w:w w:val="102"/>
          <w:sz w:val="24"/>
          <w:szCs w:val="24"/>
        </w:rPr>
        <w:t>on</w:t>
      </w:r>
      <w:r w:rsidRPr="00FC467D">
        <w:rPr>
          <w:rFonts w:ascii="Times New Roman" w:hAnsi="Times New Roman" w:cs="Times New Roman"/>
          <w:spacing w:val="2"/>
          <w:w w:val="102"/>
          <w:sz w:val="24"/>
          <w:szCs w:val="24"/>
        </w:rPr>
        <w:t>t</w:t>
      </w:r>
      <w:r w:rsidRPr="00FC467D">
        <w:rPr>
          <w:rFonts w:ascii="Times New Roman" w:hAnsi="Times New Roman" w:cs="Times New Roman"/>
          <w:spacing w:val="-1"/>
          <w:w w:val="102"/>
          <w:sz w:val="24"/>
          <w:szCs w:val="24"/>
        </w:rPr>
        <w:t>h</w:t>
      </w:r>
      <w:r w:rsidRPr="00FC467D">
        <w:rPr>
          <w:rFonts w:ascii="Times New Roman" w:hAnsi="Times New Roman" w:cs="Times New Roman"/>
          <w:w w:val="102"/>
          <w:sz w:val="24"/>
          <w:szCs w:val="24"/>
        </w:rPr>
        <w:t xml:space="preserve"> starting from</w:t>
      </w:r>
      <w:r w:rsidR="003E268C">
        <w:rPr>
          <w:rFonts w:ascii="Times New Roman" w:hAnsi="Times New Roman" w:cs="Times New Roman"/>
          <w:w w:val="102"/>
          <w:sz w:val="24"/>
          <w:szCs w:val="24"/>
        </w:rPr>
        <w:t xml:space="preserve"> tentatively</w:t>
      </w:r>
      <w:r w:rsidRPr="00FC467D">
        <w:rPr>
          <w:rFonts w:ascii="Times New Roman" w:hAnsi="Times New Roman" w:cs="Times New Roman"/>
          <w:w w:val="102"/>
          <w:sz w:val="24"/>
          <w:szCs w:val="24"/>
        </w:rPr>
        <w:t xml:space="preserve"> </w:t>
      </w:r>
      <w:r>
        <w:rPr>
          <w:rFonts w:ascii="Times New Roman" w:hAnsi="Times New Roman" w:cs="Times New Roman"/>
          <w:w w:val="102"/>
          <w:sz w:val="24"/>
          <w:szCs w:val="24"/>
        </w:rPr>
        <w:t>Jan</w:t>
      </w:r>
      <w:r w:rsidRPr="00FC467D">
        <w:rPr>
          <w:rFonts w:ascii="Times New Roman" w:hAnsi="Times New Roman" w:cs="Times New Roman"/>
          <w:w w:val="102"/>
          <w:sz w:val="24"/>
          <w:szCs w:val="24"/>
        </w:rPr>
        <w:t xml:space="preserve"> </w:t>
      </w:r>
      <w:r>
        <w:rPr>
          <w:rFonts w:ascii="Times New Roman" w:hAnsi="Times New Roman" w:cs="Times New Roman"/>
          <w:w w:val="102"/>
          <w:sz w:val="24"/>
          <w:szCs w:val="24"/>
        </w:rPr>
        <w:t>2</w:t>
      </w:r>
      <w:r w:rsidRPr="00FC467D">
        <w:rPr>
          <w:rFonts w:ascii="Times New Roman" w:hAnsi="Times New Roman" w:cs="Times New Roman"/>
          <w:w w:val="102"/>
          <w:sz w:val="24"/>
          <w:szCs w:val="24"/>
        </w:rPr>
        <w:t>, 202</w:t>
      </w:r>
      <w:r>
        <w:rPr>
          <w:rFonts w:ascii="Times New Roman" w:hAnsi="Times New Roman" w:cs="Times New Roman"/>
          <w:w w:val="102"/>
          <w:sz w:val="24"/>
          <w:szCs w:val="24"/>
        </w:rPr>
        <w:t>2 or before</w:t>
      </w:r>
      <w:r w:rsidRPr="00FC467D">
        <w:rPr>
          <w:rFonts w:ascii="Times New Roman" w:hAnsi="Times New Roman" w:cs="Times New Roman"/>
          <w:w w:val="102"/>
          <w:sz w:val="24"/>
          <w:szCs w:val="24"/>
        </w:rPr>
        <w:t>.</w:t>
      </w:r>
    </w:p>
    <w:p w:rsidR="001C3045" w:rsidRPr="00FC467D" w:rsidRDefault="001C3045" w:rsidP="001C3045">
      <w:pPr>
        <w:pStyle w:val="ListParagraph"/>
        <w:numPr>
          <w:ilvl w:val="0"/>
          <w:numId w:val="2"/>
        </w:numPr>
        <w:spacing w:after="0" w:line="360" w:lineRule="auto"/>
        <w:ind w:left="1080"/>
        <w:contextualSpacing w:val="0"/>
        <w:jc w:val="both"/>
        <w:rPr>
          <w:rFonts w:ascii="Times New Roman" w:hAnsi="Times New Roman" w:cs="Times New Roman"/>
          <w:bCs/>
          <w:sz w:val="24"/>
          <w:szCs w:val="24"/>
        </w:rPr>
      </w:pPr>
      <w:r w:rsidRPr="00FC467D">
        <w:rPr>
          <w:rFonts w:ascii="Times New Roman" w:hAnsi="Times New Roman" w:cs="Times New Roman"/>
          <w:bCs/>
          <w:sz w:val="24"/>
          <w:szCs w:val="24"/>
        </w:rPr>
        <w:t>The contract shall be issued yearly upon satisfactory performance.</w:t>
      </w:r>
    </w:p>
    <w:p w:rsidR="001C3045" w:rsidRPr="00FC467D" w:rsidRDefault="001C3045" w:rsidP="001C3045">
      <w:pPr>
        <w:pStyle w:val="ListParagraph"/>
        <w:numPr>
          <w:ilvl w:val="0"/>
          <w:numId w:val="2"/>
        </w:numPr>
        <w:spacing w:after="0" w:line="360" w:lineRule="auto"/>
        <w:ind w:left="1080"/>
        <w:contextualSpacing w:val="0"/>
        <w:jc w:val="both"/>
        <w:rPr>
          <w:rFonts w:ascii="Times New Roman" w:hAnsi="Times New Roman" w:cs="Times New Roman"/>
          <w:bCs/>
          <w:sz w:val="24"/>
          <w:szCs w:val="24"/>
        </w:rPr>
      </w:pPr>
      <w:r w:rsidRPr="00FC467D">
        <w:rPr>
          <w:rFonts w:ascii="Times New Roman" w:hAnsi="Times New Roman" w:cs="Times New Roman"/>
          <w:bCs/>
          <w:sz w:val="24"/>
          <w:szCs w:val="24"/>
        </w:rPr>
        <w:t xml:space="preserve">The contract shall be terminated if the project does not need the consultant's service or unsatisfactory performance as evaluated by the Project and or its authorized agency. </w:t>
      </w:r>
    </w:p>
    <w:p w:rsidR="001C3045" w:rsidRPr="00FC467D" w:rsidRDefault="001C3045" w:rsidP="001C3045">
      <w:pPr>
        <w:pStyle w:val="ListParagraph"/>
        <w:numPr>
          <w:ilvl w:val="0"/>
          <w:numId w:val="2"/>
        </w:numPr>
        <w:spacing w:after="0" w:line="360" w:lineRule="auto"/>
        <w:ind w:left="1080"/>
        <w:contextualSpacing w:val="0"/>
        <w:jc w:val="both"/>
        <w:rPr>
          <w:rFonts w:ascii="Times New Roman" w:hAnsi="Times New Roman" w:cs="Times New Roman"/>
          <w:bCs/>
          <w:sz w:val="24"/>
          <w:szCs w:val="24"/>
        </w:rPr>
      </w:pPr>
      <w:r w:rsidRPr="00FC467D">
        <w:rPr>
          <w:rFonts w:ascii="Times New Roman" w:hAnsi="Times New Roman" w:cs="Times New Roman"/>
          <w:bCs/>
          <w:sz w:val="24"/>
          <w:szCs w:val="24"/>
        </w:rPr>
        <w:t xml:space="preserve">The contract shall be terminated at any time if the required terms and standards are not followed.  </w:t>
      </w:r>
    </w:p>
    <w:p w:rsidR="001C3045" w:rsidRDefault="001C3045" w:rsidP="001C3045">
      <w:pPr>
        <w:pStyle w:val="ListParagraph"/>
        <w:numPr>
          <w:ilvl w:val="0"/>
          <w:numId w:val="2"/>
        </w:numPr>
        <w:spacing w:after="0" w:line="360" w:lineRule="auto"/>
        <w:ind w:left="1080"/>
        <w:contextualSpacing w:val="0"/>
        <w:jc w:val="both"/>
        <w:rPr>
          <w:rFonts w:ascii="Times New Roman" w:hAnsi="Times New Roman" w:cs="Times New Roman"/>
          <w:bCs/>
          <w:sz w:val="24"/>
          <w:szCs w:val="24"/>
        </w:rPr>
      </w:pPr>
      <w:r w:rsidRPr="00FC467D">
        <w:rPr>
          <w:rFonts w:ascii="Times New Roman" w:hAnsi="Times New Roman" w:cs="Times New Roman"/>
          <w:bCs/>
          <w:sz w:val="24"/>
          <w:szCs w:val="24"/>
        </w:rPr>
        <w:t xml:space="preserve">The consultant shall be based at the PMU and visits local levels periodically as agreed by NPD. </w:t>
      </w:r>
    </w:p>
    <w:p w:rsidR="001C3045" w:rsidRPr="00FC467D" w:rsidRDefault="001C3045" w:rsidP="001C3045">
      <w:pPr>
        <w:pStyle w:val="ListParagraph"/>
        <w:spacing w:after="0" w:line="360" w:lineRule="auto"/>
        <w:ind w:left="1080"/>
        <w:contextualSpacing w:val="0"/>
        <w:jc w:val="both"/>
        <w:rPr>
          <w:rFonts w:ascii="Times New Roman" w:hAnsi="Times New Roman" w:cs="Times New Roman"/>
          <w:bCs/>
          <w:sz w:val="24"/>
          <w:szCs w:val="24"/>
        </w:rPr>
      </w:pPr>
    </w:p>
    <w:p w:rsidR="001C3045" w:rsidRPr="00FC467D" w:rsidRDefault="001C3045" w:rsidP="001C3045">
      <w:pPr>
        <w:pStyle w:val="Heading1"/>
        <w:rPr>
          <w:sz w:val="24"/>
          <w:szCs w:val="22"/>
        </w:rPr>
      </w:pPr>
      <w:bookmarkStart w:id="10" w:name="_Toc51510617"/>
      <w:r w:rsidRPr="00FC467D">
        <w:rPr>
          <w:sz w:val="24"/>
          <w:szCs w:val="22"/>
        </w:rPr>
        <w:t>QUALIFICATION AND EXPERIENCE OF THE CONSULTANT:</w:t>
      </w:r>
      <w:bookmarkEnd w:id="10"/>
    </w:p>
    <w:p w:rsidR="001C3045" w:rsidRPr="00FC467D" w:rsidRDefault="001C3045" w:rsidP="001C3045">
      <w:pPr>
        <w:numPr>
          <w:ilvl w:val="0"/>
          <w:numId w:val="3"/>
        </w:numPr>
        <w:spacing w:after="0" w:line="360" w:lineRule="auto"/>
        <w:ind w:left="1080"/>
        <w:jc w:val="both"/>
        <w:rPr>
          <w:rFonts w:ascii="Times New Roman" w:hAnsi="Times New Roman" w:cs="Times New Roman"/>
          <w:sz w:val="24"/>
          <w:szCs w:val="24"/>
        </w:rPr>
      </w:pPr>
      <w:r w:rsidRPr="00FC467D">
        <w:rPr>
          <w:rFonts w:ascii="Times New Roman" w:hAnsi="Times New Roman" w:cs="Times New Roman"/>
          <w:sz w:val="24"/>
          <w:szCs w:val="24"/>
        </w:rPr>
        <w:t xml:space="preserve">A professional accountancy qualification (CPA, CA or equivalent membership of an internationally recognized accounting institute / agency) </w:t>
      </w:r>
    </w:p>
    <w:p w:rsidR="001C3045" w:rsidRPr="00FC467D" w:rsidRDefault="001C3045" w:rsidP="001C3045">
      <w:pPr>
        <w:ind w:left="1080"/>
        <w:jc w:val="both"/>
        <w:rPr>
          <w:rFonts w:ascii="Times New Roman" w:hAnsi="Times New Roman" w:cs="Times New Roman"/>
          <w:sz w:val="24"/>
          <w:szCs w:val="24"/>
        </w:rPr>
      </w:pPr>
      <w:r w:rsidRPr="00FC467D">
        <w:rPr>
          <w:rFonts w:ascii="Times New Roman" w:hAnsi="Times New Roman" w:cs="Times New Roman"/>
          <w:sz w:val="24"/>
          <w:szCs w:val="24"/>
        </w:rPr>
        <w:t xml:space="preserve">OR </w:t>
      </w:r>
    </w:p>
    <w:p w:rsidR="001C3045" w:rsidRPr="00FC467D" w:rsidRDefault="001C3045" w:rsidP="001C3045">
      <w:pPr>
        <w:ind w:left="1080"/>
        <w:jc w:val="both"/>
        <w:rPr>
          <w:rFonts w:ascii="Times New Roman" w:hAnsi="Times New Roman" w:cs="Times New Roman"/>
          <w:sz w:val="24"/>
          <w:szCs w:val="24"/>
        </w:rPr>
      </w:pPr>
      <w:r w:rsidRPr="00FC467D">
        <w:rPr>
          <w:rFonts w:ascii="Times New Roman" w:hAnsi="Times New Roman" w:cs="Times New Roman"/>
          <w:sz w:val="24"/>
          <w:szCs w:val="24"/>
        </w:rPr>
        <w:t xml:space="preserve">Master’s degree in accounting, business, finance, economics and or  related field with  at least 5 years of post-professional qualification experience in government auditing or government financial management.   </w:t>
      </w:r>
    </w:p>
    <w:p w:rsidR="001C3045" w:rsidRPr="00FC467D" w:rsidRDefault="001C3045" w:rsidP="001C3045">
      <w:pPr>
        <w:numPr>
          <w:ilvl w:val="0"/>
          <w:numId w:val="3"/>
        </w:numPr>
        <w:spacing w:after="0" w:line="360" w:lineRule="auto"/>
        <w:ind w:left="1080"/>
        <w:jc w:val="both"/>
        <w:rPr>
          <w:rFonts w:ascii="Times New Roman" w:hAnsi="Times New Roman" w:cs="Times New Roman"/>
          <w:sz w:val="24"/>
          <w:szCs w:val="24"/>
        </w:rPr>
      </w:pPr>
      <w:r w:rsidRPr="00FC467D">
        <w:rPr>
          <w:rFonts w:ascii="Times New Roman" w:hAnsi="Times New Roman" w:cs="Times New Roman"/>
          <w:sz w:val="24"/>
          <w:szCs w:val="24"/>
        </w:rPr>
        <w:lastRenderedPageBreak/>
        <w:t xml:space="preserve">At least 10 years of experience in financial management and auditing. </w:t>
      </w:r>
    </w:p>
    <w:p w:rsidR="001C3045" w:rsidRPr="00FC467D" w:rsidRDefault="001C3045" w:rsidP="001C3045">
      <w:pPr>
        <w:numPr>
          <w:ilvl w:val="0"/>
          <w:numId w:val="3"/>
        </w:numPr>
        <w:spacing w:after="0" w:line="360" w:lineRule="auto"/>
        <w:ind w:left="1080"/>
        <w:jc w:val="both"/>
        <w:rPr>
          <w:rFonts w:ascii="Times New Roman" w:hAnsi="Times New Roman" w:cs="Times New Roman"/>
          <w:sz w:val="24"/>
          <w:szCs w:val="24"/>
        </w:rPr>
      </w:pPr>
      <w:r w:rsidRPr="00FC467D">
        <w:rPr>
          <w:rFonts w:ascii="Times New Roman" w:hAnsi="Times New Roman" w:cs="Times New Roman"/>
          <w:sz w:val="24"/>
          <w:szCs w:val="24"/>
        </w:rPr>
        <w:t xml:space="preserve">Knowledge of Government of Nepal’s accounting principles and standards. </w:t>
      </w:r>
    </w:p>
    <w:p w:rsidR="001C3045" w:rsidRPr="00FC467D" w:rsidRDefault="001C3045" w:rsidP="001C3045">
      <w:pPr>
        <w:numPr>
          <w:ilvl w:val="0"/>
          <w:numId w:val="3"/>
        </w:numPr>
        <w:spacing w:after="0" w:line="360" w:lineRule="auto"/>
        <w:ind w:left="1080"/>
        <w:jc w:val="both"/>
        <w:rPr>
          <w:rFonts w:ascii="Times New Roman" w:hAnsi="Times New Roman" w:cs="Times New Roman"/>
          <w:sz w:val="24"/>
          <w:szCs w:val="24"/>
        </w:rPr>
      </w:pPr>
      <w:r w:rsidRPr="00FC467D">
        <w:rPr>
          <w:rFonts w:ascii="Times New Roman" w:hAnsi="Times New Roman" w:cs="Times New Roman"/>
          <w:sz w:val="24"/>
          <w:szCs w:val="24"/>
        </w:rPr>
        <w:t xml:space="preserve">Familiarity of public financial management and accountability in the public sector. </w:t>
      </w:r>
    </w:p>
    <w:p w:rsidR="001C3045" w:rsidRPr="00FC467D" w:rsidRDefault="001C3045" w:rsidP="001C3045">
      <w:pPr>
        <w:numPr>
          <w:ilvl w:val="0"/>
          <w:numId w:val="3"/>
        </w:numPr>
        <w:spacing w:after="0" w:line="360" w:lineRule="auto"/>
        <w:ind w:left="1080"/>
        <w:jc w:val="both"/>
        <w:rPr>
          <w:rFonts w:ascii="Times New Roman" w:hAnsi="Times New Roman" w:cs="Times New Roman"/>
          <w:sz w:val="24"/>
          <w:szCs w:val="24"/>
        </w:rPr>
      </w:pPr>
      <w:r w:rsidRPr="00FC467D">
        <w:rPr>
          <w:rFonts w:ascii="Times New Roman" w:hAnsi="Times New Roman" w:cs="Times New Roman"/>
          <w:sz w:val="24"/>
          <w:szCs w:val="24"/>
        </w:rPr>
        <w:t xml:space="preserve">Prior experience in managing client connection, operation of designated account of World bank is preferred. </w:t>
      </w:r>
    </w:p>
    <w:p w:rsidR="001C3045" w:rsidRPr="00FC467D" w:rsidRDefault="001C3045" w:rsidP="001C3045">
      <w:pPr>
        <w:numPr>
          <w:ilvl w:val="0"/>
          <w:numId w:val="3"/>
        </w:numPr>
        <w:spacing w:after="0" w:line="360" w:lineRule="auto"/>
        <w:ind w:left="1080"/>
        <w:jc w:val="both"/>
        <w:rPr>
          <w:rFonts w:ascii="Times New Roman" w:hAnsi="Times New Roman" w:cs="Times New Roman"/>
          <w:sz w:val="24"/>
          <w:szCs w:val="24"/>
        </w:rPr>
      </w:pPr>
      <w:r w:rsidRPr="00FC467D">
        <w:rPr>
          <w:rFonts w:ascii="Times New Roman" w:hAnsi="Times New Roman" w:cs="Times New Roman"/>
          <w:sz w:val="24"/>
          <w:szCs w:val="24"/>
        </w:rPr>
        <w:t xml:space="preserve">A demonstrated ability to solve  complex tasks in a creative manner.  </w:t>
      </w:r>
    </w:p>
    <w:p w:rsidR="001C3045" w:rsidRPr="00FC467D" w:rsidRDefault="001C3045" w:rsidP="001C3045">
      <w:pPr>
        <w:numPr>
          <w:ilvl w:val="0"/>
          <w:numId w:val="3"/>
        </w:numPr>
        <w:spacing w:after="0" w:line="360" w:lineRule="auto"/>
        <w:ind w:left="1080"/>
        <w:jc w:val="both"/>
        <w:rPr>
          <w:rFonts w:ascii="Times New Roman" w:hAnsi="Times New Roman" w:cs="Times New Roman"/>
          <w:sz w:val="24"/>
          <w:szCs w:val="24"/>
        </w:rPr>
      </w:pPr>
      <w:r w:rsidRPr="00FC467D">
        <w:rPr>
          <w:rFonts w:ascii="Times New Roman" w:hAnsi="Times New Roman" w:cs="Times New Roman"/>
          <w:sz w:val="24"/>
          <w:szCs w:val="24"/>
        </w:rPr>
        <w:t>Strong interpersonal skills and an ability to work effectively with internal/external agencies are essential;</w:t>
      </w:r>
    </w:p>
    <w:p w:rsidR="001C3045" w:rsidRPr="00FC467D" w:rsidRDefault="001C3045" w:rsidP="001C3045">
      <w:pPr>
        <w:numPr>
          <w:ilvl w:val="0"/>
          <w:numId w:val="3"/>
        </w:numPr>
        <w:spacing w:after="0" w:line="360" w:lineRule="auto"/>
        <w:ind w:left="1080"/>
        <w:jc w:val="both"/>
        <w:rPr>
          <w:rFonts w:ascii="Times New Roman" w:hAnsi="Times New Roman" w:cs="Times New Roman"/>
          <w:sz w:val="24"/>
          <w:szCs w:val="24"/>
        </w:rPr>
      </w:pPr>
      <w:r w:rsidRPr="00FC467D">
        <w:rPr>
          <w:rFonts w:ascii="Times New Roman" w:hAnsi="Times New Roman" w:cs="Times New Roman"/>
          <w:sz w:val="24"/>
          <w:szCs w:val="24"/>
        </w:rPr>
        <w:t>Proficiency in both written and spoken English and Nepali is necessary.</w:t>
      </w:r>
    </w:p>
    <w:p w:rsidR="001C3045" w:rsidRPr="00FC467D" w:rsidRDefault="001C3045" w:rsidP="001C3045">
      <w:pPr>
        <w:pStyle w:val="ListParagraph"/>
        <w:autoSpaceDE w:val="0"/>
        <w:autoSpaceDN w:val="0"/>
        <w:adjustRightInd w:val="0"/>
        <w:jc w:val="both"/>
        <w:rPr>
          <w:rFonts w:ascii="Times New Roman" w:hAnsi="Times New Roman" w:cs="Times New Roman"/>
          <w:sz w:val="24"/>
          <w:szCs w:val="24"/>
          <w:lang w:bidi="ar-SA"/>
        </w:rPr>
      </w:pPr>
    </w:p>
    <w:p w:rsidR="001C3045" w:rsidRPr="00FC467D" w:rsidRDefault="001C3045" w:rsidP="001C3045">
      <w:pPr>
        <w:pStyle w:val="Heading1"/>
        <w:rPr>
          <w:sz w:val="20"/>
          <w:szCs w:val="20"/>
        </w:rPr>
      </w:pPr>
      <w:bookmarkStart w:id="11" w:name="_Toc51510618"/>
      <w:bookmarkStart w:id="12" w:name="_Hlk40572071"/>
      <w:r w:rsidRPr="00FC467D">
        <w:rPr>
          <w:sz w:val="24"/>
          <w:szCs w:val="22"/>
        </w:rPr>
        <w:t>REMUNERATION AND LOGISTIC SUPPORT TO THE CONSULTANT</w:t>
      </w:r>
      <w:bookmarkEnd w:id="11"/>
    </w:p>
    <w:p w:rsidR="001C3045" w:rsidRPr="00FC467D" w:rsidRDefault="001C3045" w:rsidP="001C3045">
      <w:pPr>
        <w:ind w:left="720"/>
        <w:jc w:val="both"/>
        <w:rPr>
          <w:rFonts w:ascii="Times New Roman" w:hAnsi="Times New Roman" w:cs="Times New Roman"/>
          <w:sz w:val="24"/>
          <w:szCs w:val="24"/>
        </w:rPr>
      </w:pPr>
      <w:bookmarkStart w:id="13" w:name="_Hlk40572136"/>
      <w:bookmarkStart w:id="14" w:name="_Toc512104871"/>
      <w:bookmarkEnd w:id="12"/>
      <w:r w:rsidRPr="00FC467D">
        <w:rPr>
          <w:rFonts w:ascii="Times New Roman" w:hAnsi="Times New Roman" w:cs="Times New Roman"/>
          <w:sz w:val="24"/>
          <w:szCs w:val="24"/>
        </w:rPr>
        <w:t>The consultant shall be provided the following remuneration and logistic support:</w:t>
      </w:r>
    </w:p>
    <w:p w:rsidR="001C3045" w:rsidRPr="00FC467D" w:rsidRDefault="001C3045" w:rsidP="001C3045">
      <w:pPr>
        <w:numPr>
          <w:ilvl w:val="0"/>
          <w:numId w:val="3"/>
        </w:numPr>
        <w:spacing w:after="0" w:line="360" w:lineRule="auto"/>
        <w:ind w:left="1080"/>
        <w:jc w:val="both"/>
        <w:rPr>
          <w:rFonts w:ascii="Times New Roman" w:hAnsi="Times New Roman" w:cs="Times New Roman"/>
          <w:sz w:val="24"/>
          <w:szCs w:val="24"/>
        </w:rPr>
      </w:pPr>
      <w:r w:rsidRPr="00FC467D">
        <w:rPr>
          <w:rFonts w:ascii="Times New Roman" w:hAnsi="Times New Roman" w:cs="Times New Roman"/>
          <w:sz w:val="24"/>
          <w:szCs w:val="24"/>
        </w:rPr>
        <w:t xml:space="preserve">Monthly remuneration as negotiated at the selection process;  </w:t>
      </w:r>
    </w:p>
    <w:p w:rsidR="001C3045" w:rsidRPr="00BE75B3" w:rsidRDefault="001C3045" w:rsidP="001C3045">
      <w:pPr>
        <w:numPr>
          <w:ilvl w:val="0"/>
          <w:numId w:val="3"/>
        </w:numPr>
        <w:spacing w:after="0" w:line="360" w:lineRule="auto"/>
        <w:ind w:left="1080"/>
        <w:jc w:val="both"/>
        <w:rPr>
          <w:rFonts w:ascii="Times New Roman" w:hAnsi="Times New Roman" w:cs="Times New Roman"/>
          <w:sz w:val="24"/>
          <w:szCs w:val="24"/>
        </w:rPr>
      </w:pPr>
      <w:r w:rsidRPr="00BE75B3">
        <w:rPr>
          <w:rFonts w:ascii="Times New Roman" w:hAnsi="Times New Roman" w:cs="Times New Roman"/>
          <w:sz w:val="24"/>
          <w:szCs w:val="24"/>
        </w:rPr>
        <w:t xml:space="preserve">The price escalation is applicable to this consulting service as per the salary index or equivalent of Nepal </w:t>
      </w:r>
      <w:proofErr w:type="spellStart"/>
      <w:r w:rsidRPr="00BE75B3">
        <w:rPr>
          <w:rFonts w:ascii="Times New Roman" w:hAnsi="Times New Roman" w:cs="Times New Roman"/>
          <w:sz w:val="24"/>
          <w:szCs w:val="24"/>
        </w:rPr>
        <w:t>Rastra</w:t>
      </w:r>
      <w:proofErr w:type="spellEnd"/>
      <w:r w:rsidRPr="00BE75B3">
        <w:rPr>
          <w:rFonts w:ascii="Times New Roman" w:hAnsi="Times New Roman" w:cs="Times New Roman"/>
          <w:sz w:val="24"/>
          <w:szCs w:val="24"/>
        </w:rPr>
        <w:t xml:space="preserve"> Bank.</w:t>
      </w:r>
    </w:p>
    <w:p w:rsidR="001C3045" w:rsidRPr="00FC467D" w:rsidRDefault="001C3045" w:rsidP="001C3045">
      <w:pPr>
        <w:numPr>
          <w:ilvl w:val="0"/>
          <w:numId w:val="3"/>
        </w:numPr>
        <w:spacing w:after="0" w:line="360" w:lineRule="auto"/>
        <w:ind w:left="1080"/>
        <w:jc w:val="both"/>
        <w:rPr>
          <w:rFonts w:ascii="Times New Roman" w:hAnsi="Times New Roman" w:cs="Times New Roman"/>
          <w:sz w:val="24"/>
          <w:szCs w:val="24"/>
        </w:rPr>
      </w:pPr>
      <w:r w:rsidRPr="00FC467D">
        <w:rPr>
          <w:rFonts w:ascii="Times New Roman" w:hAnsi="Times New Roman" w:cs="Times New Roman"/>
          <w:sz w:val="24"/>
          <w:szCs w:val="24"/>
        </w:rPr>
        <w:t xml:space="preserve">Annual progression of salary may be applied; depending upon the successful annual performance review. </w:t>
      </w:r>
    </w:p>
    <w:p w:rsidR="001C3045" w:rsidRPr="00FC467D" w:rsidRDefault="001C3045" w:rsidP="001C3045">
      <w:pPr>
        <w:numPr>
          <w:ilvl w:val="0"/>
          <w:numId w:val="3"/>
        </w:numPr>
        <w:spacing w:after="0" w:line="360" w:lineRule="auto"/>
        <w:ind w:left="1080"/>
        <w:jc w:val="both"/>
        <w:rPr>
          <w:rFonts w:ascii="Times New Roman" w:hAnsi="Times New Roman" w:cs="Times New Roman"/>
          <w:sz w:val="24"/>
          <w:szCs w:val="24"/>
        </w:rPr>
      </w:pPr>
      <w:r w:rsidRPr="00FC467D">
        <w:rPr>
          <w:rFonts w:ascii="Times New Roman" w:hAnsi="Times New Roman" w:cs="Times New Roman"/>
          <w:sz w:val="24"/>
          <w:szCs w:val="24"/>
        </w:rPr>
        <w:t>The Consultant shall submit the invoice monthly together with timesheet and the obligatory reports as mentioned in subsequent Para “4”; certified by the respective NPD/NPM or his/her authorized representative.</w:t>
      </w:r>
    </w:p>
    <w:p w:rsidR="001C3045" w:rsidRPr="00FC467D" w:rsidRDefault="001C3045" w:rsidP="001C3045">
      <w:pPr>
        <w:ind w:left="720"/>
        <w:jc w:val="both"/>
        <w:rPr>
          <w:rFonts w:ascii="Times New Roman" w:hAnsi="Times New Roman" w:cs="Times New Roman"/>
          <w:sz w:val="24"/>
          <w:szCs w:val="24"/>
        </w:rPr>
      </w:pPr>
    </w:p>
    <w:p w:rsidR="001C3045" w:rsidRPr="00FC467D" w:rsidRDefault="001C3045" w:rsidP="001C3045">
      <w:pPr>
        <w:pStyle w:val="Heading1"/>
        <w:rPr>
          <w:sz w:val="24"/>
          <w:szCs w:val="22"/>
        </w:rPr>
      </w:pPr>
      <w:bookmarkStart w:id="15" w:name="_Toc51510619"/>
      <w:bookmarkEnd w:id="13"/>
      <w:r w:rsidRPr="00FC467D">
        <w:rPr>
          <w:sz w:val="24"/>
          <w:szCs w:val="22"/>
        </w:rPr>
        <w:t>SELECTION PROCEDURE OF THE CONSULTANT:</w:t>
      </w:r>
      <w:bookmarkEnd w:id="14"/>
      <w:bookmarkEnd w:id="15"/>
    </w:p>
    <w:p w:rsidR="001C3045" w:rsidRPr="00FC467D" w:rsidRDefault="001C3045" w:rsidP="001C3045">
      <w:pPr>
        <w:suppressAutoHyphens/>
        <w:ind w:left="720"/>
        <w:jc w:val="both"/>
        <w:rPr>
          <w:rFonts w:ascii="Times New Roman" w:hAnsi="Times New Roman" w:cs="Times New Roman"/>
          <w:spacing w:val="-2"/>
          <w:sz w:val="24"/>
        </w:rPr>
      </w:pPr>
      <w:bookmarkStart w:id="16" w:name="_Toc512104873"/>
      <w:r w:rsidRPr="00FC467D">
        <w:rPr>
          <w:rFonts w:ascii="Times New Roman" w:hAnsi="Times New Roman" w:cs="Times New Roman"/>
          <w:spacing w:val="-2"/>
          <w:sz w:val="24"/>
        </w:rPr>
        <w:t>A Consultant will be selected in accordance with The World Bank's Procurement Regulations for IPF Borrowers: Procurement in Investment Project Financing Goods, Works, Non-Consulting and Consulting Services, July 2016 (Revised November 20</w:t>
      </w:r>
      <w:r>
        <w:rPr>
          <w:rFonts w:ascii="Times New Roman" w:hAnsi="Times New Roman" w:cs="Times New Roman"/>
          <w:spacing w:val="-2"/>
          <w:sz w:val="24"/>
        </w:rPr>
        <w:t>20</w:t>
      </w:r>
      <w:r w:rsidRPr="00FC467D">
        <w:rPr>
          <w:rFonts w:ascii="Times New Roman" w:hAnsi="Times New Roman" w:cs="Times New Roman"/>
          <w:spacing w:val="-2"/>
          <w:sz w:val="24"/>
        </w:rPr>
        <w:t>), Section VII: Approved Selection Methods Consulting Services/ "Open Competitive Selection of Individual Consultants, set out in Regulations. The selection criteria shall include:</w:t>
      </w:r>
    </w:p>
    <w:p w:rsidR="001C3045" w:rsidRPr="00FC467D" w:rsidRDefault="001C3045" w:rsidP="001C3045">
      <w:pPr>
        <w:pStyle w:val="ListParagraph"/>
        <w:numPr>
          <w:ilvl w:val="0"/>
          <w:numId w:val="5"/>
        </w:numPr>
        <w:suppressAutoHyphens/>
        <w:spacing w:after="0" w:line="360" w:lineRule="auto"/>
        <w:jc w:val="both"/>
        <w:rPr>
          <w:rFonts w:ascii="Times New Roman" w:hAnsi="Times New Roman" w:cs="Times New Roman"/>
          <w:spacing w:val="-2"/>
          <w:sz w:val="24"/>
        </w:rPr>
      </w:pPr>
      <w:r w:rsidRPr="00FC467D">
        <w:rPr>
          <w:rFonts w:ascii="Times New Roman" w:hAnsi="Times New Roman" w:cs="Times New Roman"/>
          <w:spacing w:val="-2"/>
          <w:sz w:val="24"/>
        </w:rPr>
        <w:t xml:space="preserve">Qualification </w:t>
      </w:r>
    </w:p>
    <w:p w:rsidR="001C3045" w:rsidRPr="00FC467D" w:rsidRDefault="001C3045" w:rsidP="001C3045">
      <w:pPr>
        <w:pStyle w:val="ListParagraph"/>
        <w:numPr>
          <w:ilvl w:val="0"/>
          <w:numId w:val="5"/>
        </w:numPr>
        <w:suppressAutoHyphens/>
        <w:spacing w:after="0" w:line="360" w:lineRule="auto"/>
        <w:jc w:val="both"/>
        <w:rPr>
          <w:rFonts w:ascii="Times New Roman" w:hAnsi="Times New Roman" w:cs="Times New Roman"/>
          <w:spacing w:val="-2"/>
          <w:sz w:val="24"/>
        </w:rPr>
      </w:pPr>
      <w:r w:rsidRPr="00FC467D">
        <w:rPr>
          <w:rFonts w:ascii="Times New Roman" w:hAnsi="Times New Roman" w:cs="Times New Roman"/>
          <w:spacing w:val="-2"/>
          <w:sz w:val="24"/>
        </w:rPr>
        <w:t xml:space="preserve">Experience </w:t>
      </w:r>
    </w:p>
    <w:p w:rsidR="001C3045" w:rsidRPr="00FC467D" w:rsidRDefault="001C3045" w:rsidP="001C3045">
      <w:pPr>
        <w:pStyle w:val="ListParagraph"/>
        <w:numPr>
          <w:ilvl w:val="0"/>
          <w:numId w:val="5"/>
        </w:numPr>
        <w:suppressAutoHyphens/>
        <w:spacing w:after="0" w:line="360" w:lineRule="auto"/>
        <w:jc w:val="both"/>
        <w:rPr>
          <w:rFonts w:ascii="Times New Roman" w:hAnsi="Times New Roman" w:cs="Times New Roman"/>
          <w:spacing w:val="-2"/>
          <w:sz w:val="24"/>
        </w:rPr>
      </w:pPr>
      <w:r w:rsidRPr="00FC467D">
        <w:rPr>
          <w:rFonts w:ascii="Times New Roman" w:hAnsi="Times New Roman" w:cs="Times New Roman"/>
          <w:spacing w:val="-2"/>
          <w:sz w:val="24"/>
        </w:rPr>
        <w:t>Experience of assessing / strengthening</w:t>
      </w:r>
    </w:p>
    <w:p w:rsidR="001C3045" w:rsidRPr="00FC467D" w:rsidRDefault="001C3045" w:rsidP="001C3045">
      <w:pPr>
        <w:pStyle w:val="ListParagraph"/>
        <w:numPr>
          <w:ilvl w:val="0"/>
          <w:numId w:val="5"/>
        </w:numPr>
        <w:suppressAutoHyphens/>
        <w:spacing w:after="0" w:line="360" w:lineRule="auto"/>
        <w:jc w:val="both"/>
        <w:rPr>
          <w:rFonts w:ascii="Times New Roman" w:hAnsi="Times New Roman" w:cs="Times New Roman"/>
          <w:spacing w:val="-2"/>
          <w:sz w:val="24"/>
        </w:rPr>
      </w:pPr>
      <w:r w:rsidRPr="00FC467D">
        <w:rPr>
          <w:rFonts w:ascii="Times New Roman" w:hAnsi="Times New Roman" w:cs="Times New Roman"/>
          <w:spacing w:val="-2"/>
          <w:sz w:val="24"/>
        </w:rPr>
        <w:lastRenderedPageBreak/>
        <w:t>Knowledge of financial management systems, internal control systems, auditing competence and independence, preparing financial statements and budgeting</w:t>
      </w:r>
    </w:p>
    <w:p w:rsidR="001C3045" w:rsidRPr="00FC467D" w:rsidRDefault="001C3045" w:rsidP="001C3045">
      <w:pPr>
        <w:pStyle w:val="ListParagraph"/>
        <w:numPr>
          <w:ilvl w:val="0"/>
          <w:numId w:val="5"/>
        </w:numPr>
        <w:suppressAutoHyphens/>
        <w:spacing w:after="0" w:line="360" w:lineRule="auto"/>
        <w:jc w:val="both"/>
        <w:rPr>
          <w:rFonts w:ascii="Times New Roman" w:hAnsi="Times New Roman" w:cs="Times New Roman"/>
          <w:spacing w:val="-2"/>
          <w:sz w:val="24"/>
        </w:rPr>
      </w:pPr>
      <w:r w:rsidRPr="00FC467D">
        <w:rPr>
          <w:rFonts w:ascii="Times New Roman" w:hAnsi="Times New Roman" w:cs="Times New Roman"/>
          <w:spacing w:val="-2"/>
          <w:sz w:val="24"/>
        </w:rPr>
        <w:t>Knowledge of languages, presentation and report writing skills.</w:t>
      </w:r>
    </w:p>
    <w:p w:rsidR="001C3045" w:rsidRPr="00FC467D" w:rsidRDefault="001C3045" w:rsidP="001C3045">
      <w:pPr>
        <w:suppressAutoHyphens/>
        <w:ind w:left="720"/>
        <w:jc w:val="both"/>
        <w:rPr>
          <w:rFonts w:ascii="Times New Roman" w:hAnsi="Times New Roman" w:cs="Times New Roman"/>
          <w:spacing w:val="-2"/>
          <w:sz w:val="24"/>
        </w:rPr>
      </w:pPr>
    </w:p>
    <w:p w:rsidR="001C3045" w:rsidRPr="00FC467D" w:rsidRDefault="001C3045" w:rsidP="001C3045">
      <w:pPr>
        <w:pStyle w:val="Heading1"/>
        <w:rPr>
          <w:sz w:val="24"/>
          <w:szCs w:val="22"/>
        </w:rPr>
      </w:pPr>
      <w:bookmarkStart w:id="17" w:name="_Toc51510620"/>
      <w:r w:rsidRPr="00FC467D">
        <w:rPr>
          <w:sz w:val="24"/>
          <w:szCs w:val="22"/>
        </w:rPr>
        <w:t>ADMINISTRATION OF THE CONSULTANT's SERVICES</w:t>
      </w:r>
      <w:bookmarkEnd w:id="17"/>
    </w:p>
    <w:p w:rsidR="001C3045" w:rsidRPr="00FC467D" w:rsidRDefault="001C3045" w:rsidP="001C3045">
      <w:pPr>
        <w:ind w:left="720"/>
        <w:jc w:val="both"/>
        <w:rPr>
          <w:rFonts w:ascii="Times New Roman" w:hAnsi="Times New Roman" w:cs="Times New Roman"/>
          <w:sz w:val="24"/>
          <w:szCs w:val="24"/>
        </w:rPr>
      </w:pPr>
      <w:r w:rsidRPr="00FC467D">
        <w:rPr>
          <w:rFonts w:ascii="Times New Roman" w:hAnsi="Times New Roman" w:cs="Times New Roman"/>
          <w:sz w:val="24"/>
          <w:szCs w:val="24"/>
        </w:rPr>
        <w:t>The Consultant shall be based in PMEP Kathmandu with necessary field visit to local levels. The Consultant's services will be administered and monitored by the NPD or his authorized representative.</w:t>
      </w:r>
    </w:p>
    <w:p w:rsidR="001C3045" w:rsidRPr="00FC467D" w:rsidRDefault="001C3045" w:rsidP="001C3045">
      <w:pPr>
        <w:pStyle w:val="Heading1"/>
        <w:numPr>
          <w:ilvl w:val="0"/>
          <w:numId w:val="0"/>
        </w:numPr>
        <w:ind w:left="360"/>
      </w:pPr>
    </w:p>
    <w:p w:rsidR="001C3045" w:rsidRPr="00FC467D" w:rsidRDefault="001C3045" w:rsidP="001C3045">
      <w:pPr>
        <w:pStyle w:val="Heading1"/>
        <w:numPr>
          <w:ilvl w:val="0"/>
          <w:numId w:val="0"/>
        </w:numPr>
        <w:ind w:left="360"/>
      </w:pPr>
      <w:bookmarkStart w:id="18" w:name="_Toc51510621"/>
      <w:r w:rsidRPr="00FC467D">
        <w:t>11.</w:t>
      </w:r>
      <w:r w:rsidRPr="00FC467D">
        <w:rPr>
          <w:sz w:val="24"/>
          <w:szCs w:val="22"/>
        </w:rPr>
        <w:t xml:space="preserve"> TAXATION</w:t>
      </w:r>
      <w:bookmarkEnd w:id="16"/>
      <w:bookmarkEnd w:id="18"/>
    </w:p>
    <w:p w:rsidR="001C3045" w:rsidRPr="00FC467D" w:rsidRDefault="001C3045" w:rsidP="001C3045">
      <w:pPr>
        <w:pStyle w:val="m-4080040782903767271msonormal"/>
        <w:shd w:val="clear" w:color="auto" w:fill="FFFFFF"/>
        <w:spacing w:before="0" w:beforeAutospacing="0" w:after="0" w:afterAutospacing="0" w:line="360" w:lineRule="auto"/>
        <w:ind w:left="720"/>
        <w:contextualSpacing/>
        <w:jc w:val="both"/>
        <w:rPr>
          <w:color w:val="000000"/>
        </w:rPr>
      </w:pPr>
      <w:r w:rsidRPr="00FC467D">
        <w:rPr>
          <w:color w:val="000000"/>
        </w:rPr>
        <w:t xml:space="preserve">The Consultant is fully responsible to pay taxes imposed by Government of Nepal. The individual should have registered for the Value Added Tax (VAT). The project shall deduct the applicable taxes at source. </w:t>
      </w:r>
    </w:p>
    <w:p w:rsidR="001C3045" w:rsidRPr="00FC467D" w:rsidRDefault="001C3045" w:rsidP="001C3045">
      <w:pPr>
        <w:pStyle w:val="m-4080040782903767271msonormal"/>
        <w:shd w:val="clear" w:color="auto" w:fill="FFFFFF"/>
        <w:spacing w:before="0" w:beforeAutospacing="0" w:after="0" w:afterAutospacing="0" w:line="360" w:lineRule="auto"/>
        <w:ind w:left="360"/>
        <w:contextualSpacing/>
        <w:rPr>
          <w:color w:val="000000"/>
        </w:rPr>
      </w:pPr>
    </w:p>
    <w:p w:rsidR="001C3045" w:rsidRPr="00FC467D" w:rsidRDefault="001C3045" w:rsidP="001C3045">
      <w:pPr>
        <w:pStyle w:val="Heading1"/>
        <w:numPr>
          <w:ilvl w:val="0"/>
          <w:numId w:val="0"/>
        </w:numPr>
        <w:ind w:left="360"/>
      </w:pPr>
      <w:bookmarkStart w:id="19" w:name="_Toc512104874"/>
      <w:bookmarkStart w:id="20" w:name="_Toc51510622"/>
      <w:r w:rsidRPr="00FC467D">
        <w:t xml:space="preserve">12. </w:t>
      </w:r>
      <w:r w:rsidRPr="00FC467D">
        <w:rPr>
          <w:sz w:val="24"/>
          <w:szCs w:val="22"/>
        </w:rPr>
        <w:t>CONTRACT AGREEMENT</w:t>
      </w:r>
      <w:bookmarkEnd w:id="19"/>
      <w:bookmarkEnd w:id="20"/>
    </w:p>
    <w:p w:rsidR="001C3045" w:rsidRPr="00FC467D" w:rsidRDefault="001C3045" w:rsidP="001C3045">
      <w:pPr>
        <w:pStyle w:val="m-4080040782903767271msonormal"/>
        <w:shd w:val="clear" w:color="auto" w:fill="FFFFFF"/>
        <w:spacing w:before="0" w:beforeAutospacing="0" w:after="0" w:afterAutospacing="0" w:line="360" w:lineRule="auto"/>
        <w:ind w:left="720"/>
        <w:contextualSpacing/>
        <w:jc w:val="both"/>
        <w:rPr>
          <w:color w:val="000000"/>
        </w:rPr>
      </w:pPr>
      <w:r w:rsidRPr="00FC467D">
        <w:rPr>
          <w:color w:val="000000"/>
        </w:rPr>
        <w:t>The Consultant shall be required to enter into an agreement with the Project on time-based contract.</w:t>
      </w:r>
    </w:p>
    <w:p w:rsidR="00E56220" w:rsidRDefault="009B7D89"/>
    <w:sectPr w:rsidR="00E56220" w:rsidSect="00BE75B3">
      <w:footerReference w:type="default" r:id="rId11"/>
      <w:pgSz w:w="12240" w:h="15840"/>
      <w:pgMar w:top="1440" w:right="108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D89" w:rsidRDefault="009B7D89">
      <w:pPr>
        <w:spacing w:after="0" w:line="240" w:lineRule="auto"/>
      </w:pPr>
      <w:r>
        <w:separator/>
      </w:r>
    </w:p>
  </w:endnote>
  <w:endnote w:type="continuationSeparator" w:id="0">
    <w:p w:rsidR="009B7D89" w:rsidRDefault="009B7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63847"/>
      <w:docPartObj>
        <w:docPartGallery w:val="Page Numbers (Bottom of Page)"/>
        <w:docPartUnique/>
      </w:docPartObj>
    </w:sdtPr>
    <w:sdtEndPr>
      <w:rPr>
        <w:noProof/>
      </w:rPr>
    </w:sdtEndPr>
    <w:sdtContent>
      <w:p w:rsidR="00BE75B3" w:rsidRDefault="00655FB7">
        <w:pPr>
          <w:pStyle w:val="Footer"/>
          <w:jc w:val="center"/>
        </w:pPr>
        <w:r>
          <w:fldChar w:fldCharType="begin"/>
        </w:r>
        <w:r>
          <w:instrText xml:space="preserve"> PAGE   \* MERGEFORMAT </w:instrText>
        </w:r>
        <w:r>
          <w:fldChar w:fldCharType="separate"/>
        </w:r>
        <w:r w:rsidR="00782A0D">
          <w:rPr>
            <w:noProof/>
          </w:rPr>
          <w:t>5</w:t>
        </w:r>
        <w:r>
          <w:rPr>
            <w:noProof/>
          </w:rPr>
          <w:fldChar w:fldCharType="end"/>
        </w:r>
      </w:p>
    </w:sdtContent>
  </w:sdt>
  <w:p w:rsidR="00BE75B3" w:rsidRDefault="009B7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D89" w:rsidRDefault="009B7D89">
      <w:pPr>
        <w:spacing w:after="0" w:line="240" w:lineRule="auto"/>
      </w:pPr>
      <w:r>
        <w:separator/>
      </w:r>
    </w:p>
  </w:footnote>
  <w:footnote w:type="continuationSeparator" w:id="0">
    <w:p w:rsidR="009B7D89" w:rsidRDefault="009B7D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036B3"/>
    <w:multiLevelType w:val="hybridMultilevel"/>
    <w:tmpl w:val="74DEE1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8C062F8"/>
    <w:multiLevelType w:val="multilevel"/>
    <w:tmpl w:val="4BAA2150"/>
    <w:lvl w:ilvl="0">
      <w:start w:val="1"/>
      <w:numFmt w:val="decimal"/>
      <w:pStyle w:val="Heading1"/>
      <w:lvlText w:val="%1."/>
      <w:lvlJc w:val="left"/>
      <w:pPr>
        <w:ind w:left="720" w:hanging="360"/>
      </w:pPr>
      <w:rPr>
        <w:rFonts w:hint="default"/>
        <w:i w:val="0"/>
        <w:sz w:val="28"/>
        <w:szCs w:val="28"/>
      </w:rPr>
    </w:lvl>
    <w:lvl w:ilvl="1">
      <w:start w:val="1"/>
      <w:numFmt w:val="decimal"/>
      <w:isLgl/>
      <w:lvlText w:val="%1.%2"/>
      <w:lvlJc w:val="left"/>
      <w:pPr>
        <w:ind w:left="821" w:hanging="36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383" w:hanging="720"/>
      </w:pPr>
      <w:rPr>
        <w:rFonts w:hint="default"/>
      </w:rPr>
    </w:lvl>
    <w:lvl w:ilvl="4">
      <w:start w:val="1"/>
      <w:numFmt w:val="decimal"/>
      <w:isLgl/>
      <w:lvlText w:val="%1.%2.%3.%4.%5"/>
      <w:lvlJc w:val="left"/>
      <w:pPr>
        <w:ind w:left="1844" w:hanging="108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406" w:hanging="1440"/>
      </w:pPr>
      <w:rPr>
        <w:rFonts w:hint="default"/>
      </w:rPr>
    </w:lvl>
    <w:lvl w:ilvl="7">
      <w:start w:val="1"/>
      <w:numFmt w:val="decimal"/>
      <w:isLgl/>
      <w:lvlText w:val="%1.%2.%3.%4.%5.%6.%7.%8"/>
      <w:lvlJc w:val="left"/>
      <w:pPr>
        <w:ind w:left="2507" w:hanging="1440"/>
      </w:pPr>
      <w:rPr>
        <w:rFonts w:hint="default"/>
      </w:rPr>
    </w:lvl>
    <w:lvl w:ilvl="8">
      <w:start w:val="1"/>
      <w:numFmt w:val="decimal"/>
      <w:isLgl/>
      <w:lvlText w:val="%1.%2.%3.%4.%5.%6.%7.%8.%9"/>
      <w:lvlJc w:val="left"/>
      <w:pPr>
        <w:ind w:left="2608" w:hanging="1440"/>
      </w:pPr>
      <w:rPr>
        <w:rFonts w:hint="default"/>
      </w:rPr>
    </w:lvl>
  </w:abstractNum>
  <w:abstractNum w:abstractNumId="2">
    <w:nsid w:val="44301994"/>
    <w:multiLevelType w:val="hybridMultilevel"/>
    <w:tmpl w:val="E4986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6A87562"/>
    <w:multiLevelType w:val="hybridMultilevel"/>
    <w:tmpl w:val="13F6246E"/>
    <w:lvl w:ilvl="0" w:tplc="116E1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AD47CBD"/>
    <w:multiLevelType w:val="hybridMultilevel"/>
    <w:tmpl w:val="710C6880"/>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45"/>
    <w:rsid w:val="001C3045"/>
    <w:rsid w:val="003E268C"/>
    <w:rsid w:val="004916F8"/>
    <w:rsid w:val="00655FB7"/>
    <w:rsid w:val="00782A0D"/>
    <w:rsid w:val="007F31F1"/>
    <w:rsid w:val="009B7D89"/>
    <w:rsid w:val="00CC5F9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45"/>
    <w:rPr>
      <w:rFonts w:eastAsiaTheme="minorEastAsia" w:cs="Mangal"/>
      <w:szCs w:val="20"/>
      <w:lang w:bidi="ne-NP"/>
    </w:rPr>
  </w:style>
  <w:style w:type="paragraph" w:styleId="Heading1">
    <w:name w:val="heading 1"/>
    <w:next w:val="Normal"/>
    <w:link w:val="Heading1Char"/>
    <w:uiPriority w:val="9"/>
    <w:unhideWhenUsed/>
    <w:qFormat/>
    <w:rsid w:val="001C3045"/>
    <w:pPr>
      <w:widowControl w:val="0"/>
      <w:numPr>
        <w:numId w:val="1"/>
      </w:numPr>
      <w:spacing w:after="0" w:line="360" w:lineRule="auto"/>
      <w:contextualSpacing/>
      <w:outlineLvl w:val="0"/>
    </w:pPr>
    <w:rPr>
      <w:rFonts w:ascii="Times New Roman" w:eastAsia="Calibri" w:hAnsi="Times New Roman" w:cs="Times New Roman"/>
      <w:b/>
      <w:color w:val="000000"/>
      <w:sz w:val="28"/>
      <w:szCs w:val="24"/>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045"/>
    <w:rPr>
      <w:rFonts w:ascii="Times New Roman" w:eastAsia="Calibri" w:hAnsi="Times New Roman" w:cs="Times New Roman"/>
      <w:b/>
      <w:color w:val="000000"/>
      <w:sz w:val="28"/>
      <w:szCs w:val="24"/>
      <w:lang w:bidi="ne-NP"/>
    </w:rPr>
  </w:style>
  <w:style w:type="paragraph" w:styleId="ListParagraph">
    <w:name w:val="List Paragraph"/>
    <w:aliases w:val="References,Normal 2,List Paragraph (numbered (a)),Source,List Paragraph1,Main numbered paragraph,List_Paragraph,Multilevel para_II,Numbered List Paragraph,Bullets,Colorful List - Accent 11,123 List Paragraph,Body,Bullet,Normal 2 DC"/>
    <w:basedOn w:val="Normal"/>
    <w:link w:val="ListParagraphChar"/>
    <w:uiPriority w:val="34"/>
    <w:qFormat/>
    <w:rsid w:val="001C3045"/>
    <w:pPr>
      <w:ind w:left="720"/>
      <w:contextualSpacing/>
    </w:pPr>
  </w:style>
  <w:style w:type="table" w:styleId="TableGrid">
    <w:name w:val="Table Grid"/>
    <w:basedOn w:val="TableNormal"/>
    <w:uiPriority w:val="39"/>
    <w:rsid w:val="001C3045"/>
    <w:pPr>
      <w:spacing w:after="0" w:line="240" w:lineRule="auto"/>
    </w:pPr>
    <w:rPr>
      <w:rFonts w:eastAsiaTheme="minorEastAsia"/>
      <w:szCs w:val="20"/>
      <w:lang w:bidi="ne-N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References Char,Normal 2 Char,List Paragraph (numbered (a)) Char,Source Char,List Paragraph1 Char,Main numbered paragraph Char,List_Paragraph Char,Multilevel para_II Char,Numbered List Paragraph Char,Bullets Char,Body Char"/>
    <w:link w:val="ListParagraph"/>
    <w:uiPriority w:val="34"/>
    <w:qFormat/>
    <w:rsid w:val="001C3045"/>
    <w:rPr>
      <w:rFonts w:eastAsiaTheme="minorEastAsia" w:cs="Mangal"/>
      <w:szCs w:val="20"/>
      <w:lang w:bidi="ne-NP"/>
    </w:rPr>
  </w:style>
  <w:style w:type="paragraph" w:styleId="NormalWeb">
    <w:name w:val="Normal (Web)"/>
    <w:basedOn w:val="Normal"/>
    <w:link w:val="NormalWebChar"/>
    <w:rsid w:val="001C304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WebChar">
    <w:name w:val="Normal (Web) Char"/>
    <w:basedOn w:val="DefaultParagraphFont"/>
    <w:link w:val="NormalWeb"/>
    <w:locked/>
    <w:rsid w:val="001C3045"/>
    <w:rPr>
      <w:rFonts w:ascii="Times New Roman" w:eastAsia="Times New Roman" w:hAnsi="Times New Roman" w:cs="Times New Roman"/>
      <w:sz w:val="24"/>
      <w:szCs w:val="24"/>
    </w:rPr>
  </w:style>
  <w:style w:type="paragraph" w:customStyle="1" w:styleId="m-4080040782903767271msonormal">
    <w:name w:val="m_-4080040782903767271msonormal"/>
    <w:basedOn w:val="Normal"/>
    <w:rsid w:val="001C30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Indent1">
    <w:name w:val="Normal Indent1"/>
    <w:basedOn w:val="Normal"/>
    <w:rsid w:val="001C3045"/>
    <w:pPr>
      <w:spacing w:after="120" w:line="240" w:lineRule="auto"/>
      <w:ind w:left="360"/>
    </w:pPr>
    <w:rPr>
      <w:rFonts w:ascii="Tahoma" w:eastAsia="Times New Roman" w:hAnsi="Tahoma" w:cs="Times New Roman"/>
      <w:szCs w:val="22"/>
      <w:lang w:bidi="ar-SA"/>
    </w:rPr>
  </w:style>
  <w:style w:type="paragraph" w:styleId="Footer">
    <w:name w:val="footer"/>
    <w:basedOn w:val="Normal"/>
    <w:link w:val="FooterChar"/>
    <w:uiPriority w:val="99"/>
    <w:unhideWhenUsed/>
    <w:rsid w:val="001C3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045"/>
    <w:rPr>
      <w:rFonts w:eastAsiaTheme="minorEastAsia" w:cs="Mangal"/>
      <w:szCs w:val="20"/>
      <w:lang w:bidi="ne-NP"/>
    </w:rPr>
  </w:style>
  <w:style w:type="paragraph" w:styleId="BalloonText">
    <w:name w:val="Balloon Text"/>
    <w:basedOn w:val="Normal"/>
    <w:link w:val="BalloonTextChar"/>
    <w:uiPriority w:val="99"/>
    <w:semiHidden/>
    <w:unhideWhenUsed/>
    <w:rsid w:val="003E268C"/>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E268C"/>
    <w:rPr>
      <w:rFonts w:ascii="Tahoma" w:eastAsiaTheme="minorEastAsia" w:hAnsi="Tahoma" w:cs="Tahoma"/>
      <w:sz w:val="16"/>
      <w:szCs w:val="14"/>
      <w:lang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45"/>
    <w:rPr>
      <w:rFonts w:eastAsiaTheme="minorEastAsia" w:cs="Mangal"/>
      <w:szCs w:val="20"/>
      <w:lang w:bidi="ne-NP"/>
    </w:rPr>
  </w:style>
  <w:style w:type="paragraph" w:styleId="Heading1">
    <w:name w:val="heading 1"/>
    <w:next w:val="Normal"/>
    <w:link w:val="Heading1Char"/>
    <w:uiPriority w:val="9"/>
    <w:unhideWhenUsed/>
    <w:qFormat/>
    <w:rsid w:val="001C3045"/>
    <w:pPr>
      <w:widowControl w:val="0"/>
      <w:numPr>
        <w:numId w:val="1"/>
      </w:numPr>
      <w:spacing w:after="0" w:line="360" w:lineRule="auto"/>
      <w:contextualSpacing/>
      <w:outlineLvl w:val="0"/>
    </w:pPr>
    <w:rPr>
      <w:rFonts w:ascii="Times New Roman" w:eastAsia="Calibri" w:hAnsi="Times New Roman" w:cs="Times New Roman"/>
      <w:b/>
      <w:color w:val="000000"/>
      <w:sz w:val="28"/>
      <w:szCs w:val="24"/>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045"/>
    <w:rPr>
      <w:rFonts w:ascii="Times New Roman" w:eastAsia="Calibri" w:hAnsi="Times New Roman" w:cs="Times New Roman"/>
      <w:b/>
      <w:color w:val="000000"/>
      <w:sz w:val="28"/>
      <w:szCs w:val="24"/>
      <w:lang w:bidi="ne-NP"/>
    </w:rPr>
  </w:style>
  <w:style w:type="paragraph" w:styleId="ListParagraph">
    <w:name w:val="List Paragraph"/>
    <w:aliases w:val="References,Normal 2,List Paragraph (numbered (a)),Source,List Paragraph1,Main numbered paragraph,List_Paragraph,Multilevel para_II,Numbered List Paragraph,Bullets,Colorful List - Accent 11,123 List Paragraph,Body,Bullet,Normal 2 DC"/>
    <w:basedOn w:val="Normal"/>
    <w:link w:val="ListParagraphChar"/>
    <w:uiPriority w:val="34"/>
    <w:qFormat/>
    <w:rsid w:val="001C3045"/>
    <w:pPr>
      <w:ind w:left="720"/>
      <w:contextualSpacing/>
    </w:pPr>
  </w:style>
  <w:style w:type="table" w:styleId="TableGrid">
    <w:name w:val="Table Grid"/>
    <w:basedOn w:val="TableNormal"/>
    <w:uiPriority w:val="39"/>
    <w:rsid w:val="001C3045"/>
    <w:pPr>
      <w:spacing w:after="0" w:line="240" w:lineRule="auto"/>
    </w:pPr>
    <w:rPr>
      <w:rFonts w:eastAsiaTheme="minorEastAsia"/>
      <w:szCs w:val="20"/>
      <w:lang w:bidi="ne-N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References Char,Normal 2 Char,List Paragraph (numbered (a)) Char,Source Char,List Paragraph1 Char,Main numbered paragraph Char,List_Paragraph Char,Multilevel para_II Char,Numbered List Paragraph Char,Bullets Char,Body Char"/>
    <w:link w:val="ListParagraph"/>
    <w:uiPriority w:val="34"/>
    <w:qFormat/>
    <w:rsid w:val="001C3045"/>
    <w:rPr>
      <w:rFonts w:eastAsiaTheme="minorEastAsia" w:cs="Mangal"/>
      <w:szCs w:val="20"/>
      <w:lang w:bidi="ne-NP"/>
    </w:rPr>
  </w:style>
  <w:style w:type="paragraph" w:styleId="NormalWeb">
    <w:name w:val="Normal (Web)"/>
    <w:basedOn w:val="Normal"/>
    <w:link w:val="NormalWebChar"/>
    <w:rsid w:val="001C304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WebChar">
    <w:name w:val="Normal (Web) Char"/>
    <w:basedOn w:val="DefaultParagraphFont"/>
    <w:link w:val="NormalWeb"/>
    <w:locked/>
    <w:rsid w:val="001C3045"/>
    <w:rPr>
      <w:rFonts w:ascii="Times New Roman" w:eastAsia="Times New Roman" w:hAnsi="Times New Roman" w:cs="Times New Roman"/>
      <w:sz w:val="24"/>
      <w:szCs w:val="24"/>
    </w:rPr>
  </w:style>
  <w:style w:type="paragraph" w:customStyle="1" w:styleId="m-4080040782903767271msonormal">
    <w:name w:val="m_-4080040782903767271msonormal"/>
    <w:basedOn w:val="Normal"/>
    <w:rsid w:val="001C30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Indent1">
    <w:name w:val="Normal Indent1"/>
    <w:basedOn w:val="Normal"/>
    <w:rsid w:val="001C3045"/>
    <w:pPr>
      <w:spacing w:after="120" w:line="240" w:lineRule="auto"/>
      <w:ind w:left="360"/>
    </w:pPr>
    <w:rPr>
      <w:rFonts w:ascii="Tahoma" w:eastAsia="Times New Roman" w:hAnsi="Tahoma" w:cs="Times New Roman"/>
      <w:szCs w:val="22"/>
      <w:lang w:bidi="ar-SA"/>
    </w:rPr>
  </w:style>
  <w:style w:type="paragraph" w:styleId="Footer">
    <w:name w:val="footer"/>
    <w:basedOn w:val="Normal"/>
    <w:link w:val="FooterChar"/>
    <w:uiPriority w:val="99"/>
    <w:unhideWhenUsed/>
    <w:rsid w:val="001C3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045"/>
    <w:rPr>
      <w:rFonts w:eastAsiaTheme="minorEastAsia" w:cs="Mangal"/>
      <w:szCs w:val="20"/>
      <w:lang w:bidi="ne-NP"/>
    </w:rPr>
  </w:style>
  <w:style w:type="paragraph" w:styleId="BalloonText">
    <w:name w:val="Balloon Text"/>
    <w:basedOn w:val="Normal"/>
    <w:link w:val="BalloonTextChar"/>
    <w:uiPriority w:val="99"/>
    <w:semiHidden/>
    <w:unhideWhenUsed/>
    <w:rsid w:val="003E268C"/>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E268C"/>
    <w:rPr>
      <w:rFonts w:ascii="Tahoma" w:eastAsiaTheme="minorEastAsia" w:hAnsi="Tahoma" w:cs="Tahoma"/>
      <w:sz w:val="16"/>
      <w:szCs w:val="14"/>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6AB05-0BE7-410F-9BFB-CFA6AB030D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0D4FCE-6089-4D91-A035-F72CFB41684D}">
  <ds:schemaRefs>
    <ds:schemaRef ds:uri="http://schemas.microsoft.com/sharepoint/v3/contenttype/forms"/>
  </ds:schemaRefs>
</ds:datastoreItem>
</file>

<file path=customXml/itemProps3.xml><?xml version="1.0" encoding="utf-8"?>
<ds:datastoreItem xmlns:ds="http://schemas.openxmlformats.org/officeDocument/2006/customXml" ds:itemID="{CBAB145E-5231-455B-807F-CF4EAEE70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Mahesh</dc:creator>
  <cp:lastModifiedBy>Mahesh</cp:lastModifiedBy>
  <cp:revision>2</cp:revision>
  <cp:lastPrinted>2021-10-05T06:47:00Z</cp:lastPrinted>
  <dcterms:created xsi:type="dcterms:W3CDTF">2021-11-02T04:57:00Z</dcterms:created>
  <dcterms:modified xsi:type="dcterms:W3CDTF">2021-11-02T04:57:00Z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